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администрации Афанасьевского муниципального округа Кировской области от 17.02.2023 N 88</w:t>
              <w:br/>
              <w:t xml:space="preserve">(ред. от 26.03.2025)</w:t>
              <w:br/>
              <w:t xml:space="preserve">"Об утверждении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муниципального образования Афанасьевский муниципальный округ Кировской области"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21.07.2026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АДМИНИСТРАЦИЯ АФАНАСЬЕВСКОГО МУНИЦИПАЛЬНОГО ОКРУГА</w:t>
      </w:r>
    </w:p>
    <w:p>
      <w:pPr>
        <w:pStyle w:val="2"/>
        <w:jc w:val="center"/>
      </w:pPr>
      <w:r>
        <w:rPr>
          <w:sz w:val="20"/>
        </w:rPr>
        <w:t xml:space="preserve">КИРОВСКОЙ ОБЛАСТИ</w:t>
      </w:r>
    </w:p>
    <w:p>
      <w:pPr>
        <w:pStyle w:val="2"/>
        <w:jc w:val="both"/>
      </w:pPr>
      <w:r>
        <w:rPr>
          <w:sz w:val="20"/>
        </w:rPr>
      </w:r>
    </w:p>
    <w:p>
      <w:pPr>
        <w:pStyle w:val="2"/>
        <w:jc w:val="center"/>
      </w:pPr>
      <w:r>
        <w:rPr>
          <w:sz w:val="20"/>
        </w:rPr>
        <w:t xml:space="preserve">ПОСТАНОВЛЕНИЕ</w:t>
      </w:r>
    </w:p>
    <w:p>
      <w:pPr>
        <w:pStyle w:val="2"/>
        <w:jc w:val="center"/>
      </w:pPr>
      <w:r>
        <w:rPr>
          <w:sz w:val="20"/>
        </w:rPr>
        <w:t xml:space="preserve">от 17 февраля 2023 г. N 88</w:t>
      </w:r>
    </w:p>
    <w:p>
      <w:pPr>
        <w:pStyle w:val="2"/>
        <w:jc w:val="both"/>
      </w:pPr>
      <w:r>
        <w:rPr>
          <w:sz w:val="20"/>
        </w:rPr>
      </w:r>
    </w:p>
    <w:p>
      <w:pPr>
        <w:pStyle w:val="2"/>
        <w:jc w:val="center"/>
      </w:pPr>
      <w:r>
        <w:rPr>
          <w:sz w:val="20"/>
        </w:rPr>
        <w:t xml:space="preserve">ОБ УТВЕРЖДЕНИИ АДМИНИСТРАТИВНОГО РЕГЛАМЕНТА ПРЕДОСТАВЛЕНИЯ</w:t>
      </w:r>
    </w:p>
    <w:p>
      <w:pPr>
        <w:pStyle w:val="2"/>
        <w:jc w:val="center"/>
      </w:pPr>
      <w:r>
        <w:rPr>
          <w:sz w:val="20"/>
        </w:rPr>
        <w:t xml:space="preserve">МУНИЦИПАЛЬНОЙ УСЛУГИ "НАПРАВЛЕНИЕ УВЕДОМЛЕНИЯ О ПЛАНИРУЕМОМ</w:t>
      </w:r>
    </w:p>
    <w:p>
      <w:pPr>
        <w:pStyle w:val="2"/>
        <w:jc w:val="center"/>
      </w:pPr>
      <w:r>
        <w:rPr>
          <w:sz w:val="20"/>
        </w:rPr>
        <w:t xml:space="preserve">СНОСЕ ОБЪЕКТА КАПИТАЛЬНОГО СТРОИТЕЛЬСТВА И УВЕДОМЛЕНИЯ</w:t>
      </w:r>
    </w:p>
    <w:p>
      <w:pPr>
        <w:pStyle w:val="2"/>
        <w:jc w:val="center"/>
      </w:pPr>
      <w:r>
        <w:rPr>
          <w:sz w:val="20"/>
        </w:rPr>
        <w:t xml:space="preserve">О ЗАВЕРШЕНИИ СНОСА ОБЪЕКТА КАПИТАЛЬНОГО СТРОИТЕЛЬСТВА"</w:t>
      </w:r>
    </w:p>
    <w:p>
      <w:pPr>
        <w:pStyle w:val="2"/>
        <w:jc w:val="center"/>
      </w:pPr>
      <w:r>
        <w:rPr>
          <w:sz w:val="20"/>
        </w:rPr>
        <w:t xml:space="preserve">НА ТЕРРИТОРИИ МУНИЦИПАЛЬНОГО ОБРАЗОВАНИЯ АФАНАСЬЕВСКИЙ</w:t>
      </w:r>
    </w:p>
    <w:p>
      <w:pPr>
        <w:pStyle w:val="2"/>
        <w:jc w:val="center"/>
      </w:pPr>
      <w:r>
        <w:rPr>
          <w:sz w:val="20"/>
        </w:rPr>
        <w:t xml:space="preserve">МУНИЦИПАЛЬНЫЙ ОКРУГ КИРОВСКОЙ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Афанасьевского муниципального округа</w:t>
            </w:r>
          </w:p>
          <w:p>
            <w:pPr>
              <w:pStyle w:val="0"/>
              <w:jc w:val="center"/>
            </w:pPr>
            <w:r>
              <w:rPr>
                <w:sz w:val="20"/>
                <w:color w:val="392c69"/>
              </w:rPr>
              <w:t xml:space="preserve">Кировской области от 27.07.2023 </w:t>
            </w:r>
            <w:hyperlink w:history="0" r:id="rId8" w:tooltip="Постановление администрации Афанасьевского муниципального округа Кировской области от 27.07.2023 N 442 &quot;О внесении изменений в постановление администрации Афанасьевского муниципального округа Кировской области от 17.02.2023 N 88&quot; (вместе с &quot;Уведомлением о планируемом сносе объекта капитального строительства&quot;, &quot;Уведомлением о завершении сноса объекта капитального строительства&quot;) {КонсультантПлюс}">
              <w:r>
                <w:rPr>
                  <w:sz w:val="20"/>
                  <w:color w:val="0000ff"/>
                </w:rPr>
                <w:t xml:space="preserve">N 442</w:t>
              </w:r>
            </w:hyperlink>
            <w:r>
              <w:rPr>
                <w:sz w:val="20"/>
                <w:color w:val="392c69"/>
              </w:rPr>
              <w:t xml:space="preserve">, от 26.03.2025 </w:t>
            </w:r>
            <w:hyperlink w:history="0" r:id="rId9" w:tooltip="Постановление администрации Афанасьевского муниципального округа Кировской области от 26.03.2025 N 197 &quot;О внесении изменений в постановление администрации Афанасьевского муниципального округа Кировской области от 17.02.2023 N 88&quot; {КонсультантПлюс}">
              <w:r>
                <w:rPr>
                  <w:sz w:val="20"/>
                  <w:color w:val="0000ff"/>
                </w:rPr>
                <w:t xml:space="preserve">N 197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Федеральными законами от 27.07.2010 </w:t>
      </w:r>
      <w:hyperlink w:history="0" r:id="rId10"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N 210-ФЗ</w:t>
        </w:r>
      </w:hyperlink>
      <w:r>
        <w:rPr>
          <w:sz w:val="20"/>
        </w:rPr>
        <w:t xml:space="preserve"> "Об организации предоставления государственных и муниципальных услуг", от 06.10.2003 </w:t>
      </w:r>
      <w:hyperlink w:history="0" r:id="rId11"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N 131-ФЗ</w:t>
        </w:r>
      </w:hyperlink>
      <w:r>
        <w:rPr>
          <w:sz w:val="20"/>
        </w:rPr>
        <w:t xml:space="preserve"> "Об общих принципах организации местного самоуправления в Российской Федерации", в целях приведения нормативного правового акта в соответствие с действующим законодательством администрация Афанасьевского муниципального округа постановляет:</w:t>
      </w:r>
    </w:p>
    <w:p>
      <w:pPr>
        <w:pStyle w:val="0"/>
        <w:spacing w:before="200" w:lineRule="auto"/>
        <w:ind w:firstLine="540"/>
        <w:jc w:val="both"/>
      </w:pPr>
      <w:r>
        <w:rPr>
          <w:sz w:val="20"/>
        </w:rPr>
        <w:t xml:space="preserve">1. Утвердить Административный </w:t>
      </w:r>
      <w:hyperlink w:history="0" w:anchor="P40" w:tooltip="АДМИНИСТРАТИВНЫЙ РЕГЛАМЕНТ">
        <w:r>
          <w:rPr>
            <w:sz w:val="20"/>
            <w:color w:val="0000ff"/>
          </w:rPr>
          <w:t xml:space="preserve">регламент</w:t>
        </w:r>
      </w:hyperlink>
      <w:r>
        <w:rPr>
          <w:sz w:val="20"/>
        </w:rPr>
        <w:t xml:space="preserve">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муниципального образования Афанасьевский муниципальный округ Кировской области согласно приложению.</w:t>
      </w:r>
    </w:p>
    <w:p>
      <w:pPr>
        <w:pStyle w:val="0"/>
        <w:spacing w:before="200" w:lineRule="auto"/>
        <w:ind w:firstLine="540"/>
        <w:jc w:val="both"/>
      </w:pPr>
      <w:r>
        <w:rPr>
          <w:sz w:val="20"/>
        </w:rPr>
        <w:t xml:space="preserve">2. Контроль за выполнением настоящего постановления возложить на заместителя главы администрации муниципального округа по вопросам жизнеобеспечения.</w:t>
      </w:r>
    </w:p>
    <w:p>
      <w:pPr>
        <w:pStyle w:val="0"/>
        <w:spacing w:before="200" w:lineRule="auto"/>
        <w:ind w:firstLine="540"/>
        <w:jc w:val="both"/>
      </w:pPr>
      <w:r>
        <w:rPr>
          <w:sz w:val="20"/>
        </w:rPr>
        <w:t xml:space="preserve">3. Настоящее постановление вступает в силу с момента его официального опубликования.</w:t>
      </w:r>
    </w:p>
    <w:p>
      <w:pPr>
        <w:pStyle w:val="0"/>
        <w:jc w:val="both"/>
      </w:pPr>
      <w:r>
        <w:rPr>
          <w:sz w:val="20"/>
        </w:rPr>
      </w:r>
    </w:p>
    <w:p>
      <w:pPr>
        <w:pStyle w:val="0"/>
        <w:jc w:val="right"/>
      </w:pPr>
      <w:r>
        <w:rPr>
          <w:sz w:val="20"/>
        </w:rPr>
        <w:t xml:space="preserve">Глава</w:t>
      </w:r>
    </w:p>
    <w:p>
      <w:pPr>
        <w:pStyle w:val="0"/>
        <w:jc w:val="right"/>
      </w:pPr>
      <w:r>
        <w:rPr>
          <w:sz w:val="20"/>
        </w:rPr>
        <w:t xml:space="preserve">Афанасьевского муниципального округа</w:t>
      </w:r>
    </w:p>
    <w:p>
      <w:pPr>
        <w:pStyle w:val="0"/>
        <w:jc w:val="right"/>
      </w:pPr>
      <w:r>
        <w:rPr>
          <w:sz w:val="20"/>
        </w:rPr>
        <w:t xml:space="preserve">Кировской области</w:t>
      </w:r>
    </w:p>
    <w:p>
      <w:pPr>
        <w:pStyle w:val="0"/>
        <w:jc w:val="right"/>
      </w:pPr>
      <w:r>
        <w:rPr>
          <w:sz w:val="20"/>
        </w:rPr>
        <w:t xml:space="preserve">Е.М.БЕЛЕВА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p>
      <w:pPr>
        <w:pStyle w:val="0"/>
        <w:jc w:val="right"/>
      </w:pPr>
      <w:r>
        <w:rPr>
          <w:sz w:val="20"/>
        </w:rPr>
        <w:t xml:space="preserve">Утвержден</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Афанасьевского муниципального округа</w:t>
      </w:r>
    </w:p>
    <w:p>
      <w:pPr>
        <w:pStyle w:val="0"/>
        <w:jc w:val="right"/>
      </w:pPr>
      <w:r>
        <w:rPr>
          <w:sz w:val="20"/>
        </w:rPr>
        <w:t xml:space="preserve">Кировской области</w:t>
      </w:r>
    </w:p>
    <w:p>
      <w:pPr>
        <w:pStyle w:val="0"/>
        <w:jc w:val="right"/>
      </w:pPr>
      <w:r>
        <w:rPr>
          <w:sz w:val="20"/>
        </w:rPr>
        <w:t xml:space="preserve">от 17 февраля 2023 г. N 88</w:t>
      </w:r>
    </w:p>
    <w:p>
      <w:pPr>
        <w:pStyle w:val="0"/>
        <w:jc w:val="both"/>
      </w:pPr>
      <w:r>
        <w:rPr>
          <w:sz w:val="20"/>
        </w:rPr>
      </w:r>
    </w:p>
    <w:bookmarkStart w:id="40" w:name="P40"/>
    <w:bookmarkEnd w:id="40"/>
    <w:p>
      <w:pPr>
        <w:pStyle w:val="2"/>
        <w:jc w:val="center"/>
      </w:pPr>
      <w:r>
        <w:rPr>
          <w:sz w:val="20"/>
        </w:rPr>
        <w:t xml:space="preserve">АДМИНИСТРАТИВНЫЙ РЕГЛАМЕНТ</w:t>
      </w:r>
    </w:p>
    <w:p>
      <w:pPr>
        <w:pStyle w:val="2"/>
        <w:jc w:val="center"/>
      </w:pPr>
      <w:r>
        <w:rPr>
          <w:sz w:val="20"/>
        </w:rPr>
        <w:t xml:space="preserve">ПРЕДОСТАВЛЕНИЯ МУНИЦИПАЛЬНОЙ УСЛУГИ "НАПРАВЛЕНИЕ УВЕДОМЛЕНИЯ</w:t>
      </w:r>
    </w:p>
    <w:p>
      <w:pPr>
        <w:pStyle w:val="2"/>
        <w:jc w:val="center"/>
      </w:pPr>
      <w:r>
        <w:rPr>
          <w:sz w:val="20"/>
        </w:rPr>
        <w:t xml:space="preserve">О ПЛАНИРУЕМОМ СНОСЕ ОБЪЕКТА КАПИТАЛЬНОГО СТРОИТЕЛЬСТВА</w:t>
      </w:r>
    </w:p>
    <w:p>
      <w:pPr>
        <w:pStyle w:val="2"/>
        <w:jc w:val="center"/>
      </w:pPr>
      <w:r>
        <w:rPr>
          <w:sz w:val="20"/>
        </w:rPr>
        <w:t xml:space="preserve">И УВЕДОМЛЕНИЯ О ЗАВЕРШЕНИИ СНОСА ОБЪЕКТА КАПИТАЛЬНОГО</w:t>
      </w:r>
    </w:p>
    <w:p>
      <w:pPr>
        <w:pStyle w:val="2"/>
        <w:jc w:val="center"/>
      </w:pPr>
      <w:r>
        <w:rPr>
          <w:sz w:val="20"/>
        </w:rPr>
        <w:t xml:space="preserve">СТРОИТЕЛЬСТВА" НА ТЕРРИТОРИИ МУНИЦИПАЛЬНОГО ОБРАЗОВАНИЯ</w:t>
      </w:r>
    </w:p>
    <w:p>
      <w:pPr>
        <w:pStyle w:val="2"/>
        <w:jc w:val="center"/>
      </w:pPr>
      <w:r>
        <w:rPr>
          <w:sz w:val="20"/>
        </w:rPr>
        <w:t xml:space="preserve">АФАНАСЬЕВСКИЙ МУНИЦИПАЛЬНЫЙ ОКРУГ КИРОВСКОЙ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Афанасьевского муниципального округа</w:t>
            </w:r>
          </w:p>
          <w:p>
            <w:pPr>
              <w:pStyle w:val="0"/>
              <w:jc w:val="center"/>
            </w:pPr>
            <w:r>
              <w:rPr>
                <w:sz w:val="20"/>
                <w:color w:val="392c69"/>
              </w:rPr>
              <w:t xml:space="preserve">Кировской области от 27.07.2023 </w:t>
            </w:r>
            <w:hyperlink w:history="0" r:id="rId12" w:tooltip="Постановление администрации Афанасьевского муниципального округа Кировской области от 27.07.2023 N 442 &quot;О внесении изменений в постановление администрации Афанасьевского муниципального округа Кировской области от 17.02.2023 N 88&quot; (вместе с &quot;Уведомлением о планируемом сносе объекта капитального строительства&quot;, &quot;Уведомлением о завершении сноса объекта капитального строительства&quot;) {КонсультантПлюс}">
              <w:r>
                <w:rPr>
                  <w:sz w:val="20"/>
                  <w:color w:val="0000ff"/>
                </w:rPr>
                <w:t xml:space="preserve">N 442</w:t>
              </w:r>
            </w:hyperlink>
            <w:r>
              <w:rPr>
                <w:sz w:val="20"/>
                <w:color w:val="392c69"/>
              </w:rPr>
              <w:t xml:space="preserve">, от 26.03.2025 </w:t>
            </w:r>
            <w:hyperlink w:history="0" r:id="rId13" w:tooltip="Постановление администрации Афанасьевского муниципального округа Кировской области от 26.03.2025 N 197 &quot;О внесении изменений в постановление администрации Афанасьевского муниципального округа Кировской области от 17.02.2023 N 88&quot; {КонсультантПлюс}">
              <w:r>
                <w:rPr>
                  <w:sz w:val="20"/>
                  <w:color w:val="0000ff"/>
                </w:rPr>
                <w:t xml:space="preserve">N 197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ind w:firstLine="540"/>
        <w:jc w:val="both"/>
      </w:pPr>
      <w:r>
        <w:rPr>
          <w:sz w:val="20"/>
        </w:rPr>
        <w:t xml:space="preserve">1. Общие положения.</w:t>
      </w:r>
    </w:p>
    <w:p>
      <w:pPr>
        <w:pStyle w:val="2"/>
        <w:spacing w:before="200" w:lineRule="auto"/>
        <w:outlineLvl w:val="2"/>
        <w:ind w:firstLine="540"/>
        <w:jc w:val="both"/>
      </w:pPr>
      <w:r>
        <w:rPr>
          <w:sz w:val="20"/>
        </w:rPr>
        <w:t xml:space="preserve">1.1. Предмет регулирования Административного регламента.</w:t>
      </w:r>
    </w:p>
    <w:p>
      <w:pPr>
        <w:pStyle w:val="0"/>
        <w:spacing w:before="200" w:lineRule="auto"/>
        <w:ind w:firstLine="540"/>
        <w:jc w:val="both"/>
      </w:pPr>
      <w:r>
        <w:rPr>
          <w:sz w:val="20"/>
        </w:rPr>
        <w:t xml:space="preserve">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на территории Афанасьевского муниципального округа Кировской области. Настоящий Административный регламент регулирует отношения, возникающие при оказании следующих подуслуг:</w:t>
      </w:r>
    </w:p>
    <w:p>
      <w:pPr>
        <w:pStyle w:val="0"/>
        <w:spacing w:before="200" w:lineRule="auto"/>
        <w:ind w:firstLine="540"/>
        <w:jc w:val="both"/>
      </w:pPr>
      <w:r>
        <w:rPr>
          <w:sz w:val="20"/>
        </w:rPr>
        <w:t xml:space="preserve">1. Направление уведомления о сносе объекта капитального строительства.</w:t>
      </w:r>
    </w:p>
    <w:p>
      <w:pPr>
        <w:pStyle w:val="0"/>
        <w:spacing w:before="200" w:lineRule="auto"/>
        <w:ind w:firstLine="540"/>
        <w:jc w:val="both"/>
      </w:pPr>
      <w:r>
        <w:rPr>
          <w:sz w:val="20"/>
        </w:rPr>
        <w:t xml:space="preserve">2. Направление уведомления о завершении сноса объекта капитального строительства.</w:t>
      </w:r>
    </w:p>
    <w:p>
      <w:pPr>
        <w:pStyle w:val="0"/>
        <w:jc w:val="both"/>
      </w:pPr>
      <w:r>
        <w:rPr>
          <w:sz w:val="20"/>
        </w:rPr>
        <w:t xml:space="preserve">(п. 1.1 в ред. </w:t>
      </w:r>
      <w:hyperlink w:history="0" r:id="rId14" w:tooltip="Постановление администрации Афанасьевского муниципального округа Кировской области от 27.07.2023 N 442 &quot;О внесении изменений в постановление администрации Афанасьевского муниципального округа Кировской области от 17.02.2023 N 88&quot; (вместе с &quot;Уведомлением о планируемом сносе объекта капитального строительства&quot;, &quot;Уведомлением о завершении сноса объекта капитального строительства&quot;) {КонсультантПлюс}">
        <w:r>
          <w:rPr>
            <w:sz w:val="20"/>
            <w:color w:val="0000ff"/>
          </w:rPr>
          <w:t xml:space="preserve">постановления</w:t>
        </w:r>
      </w:hyperlink>
      <w:r>
        <w:rPr>
          <w:sz w:val="20"/>
        </w:rPr>
        <w:t xml:space="preserve"> администрации Афанасьевского муниципального округа Кировской области от 27.07.2023 N 442)</w:t>
      </w:r>
    </w:p>
    <w:p>
      <w:pPr>
        <w:pStyle w:val="2"/>
        <w:spacing w:before="200" w:lineRule="auto"/>
        <w:outlineLvl w:val="2"/>
        <w:ind w:firstLine="540"/>
        <w:jc w:val="both"/>
      </w:pPr>
      <w:r>
        <w:rPr>
          <w:sz w:val="20"/>
        </w:rPr>
        <w:t xml:space="preserve">1.2. Круг заявителей.</w:t>
      </w:r>
    </w:p>
    <w:p>
      <w:pPr>
        <w:pStyle w:val="0"/>
        <w:spacing w:before="200" w:lineRule="auto"/>
        <w:ind w:firstLine="540"/>
        <w:jc w:val="both"/>
      </w:pPr>
      <w:r>
        <w:rPr>
          <w:sz w:val="20"/>
        </w:rPr>
        <w:t xml:space="preserve">1.2.1. Заявителями на получение муниципальной услуги являются физические лица, юридические лица, индивидуальные предприниматели, являющиеся застройщиками (далее - заявитель).</w:t>
      </w:r>
    </w:p>
    <w:p>
      <w:pPr>
        <w:pStyle w:val="0"/>
        <w:spacing w:before="200" w:lineRule="auto"/>
        <w:ind w:firstLine="540"/>
        <w:jc w:val="both"/>
      </w:pPr>
      <w:r>
        <w:rPr>
          <w:sz w:val="20"/>
        </w:rPr>
        <w:t xml:space="preserve">1.2.2. Интересы заявителей, указанных в пункте 1.2.1 настоящего Административного регламента, могут представлять лица, обладающие соответствующими полномочиями (далее - представитель).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pPr>
        <w:pStyle w:val="2"/>
        <w:spacing w:before="200" w:lineRule="auto"/>
        <w:outlineLvl w:val="2"/>
        <w:ind w:firstLine="540"/>
        <w:jc w:val="both"/>
      </w:pPr>
      <w:r>
        <w:rPr>
          <w:sz w:val="20"/>
        </w:rPr>
        <w:t xml:space="preserve">1.3. Требования к порядку информирования о предоставлении муниципальной услуги.</w:t>
      </w:r>
    </w:p>
    <w:p>
      <w:pPr>
        <w:pStyle w:val="0"/>
        <w:spacing w:before="200" w:lineRule="auto"/>
        <w:ind w:firstLine="540"/>
        <w:jc w:val="both"/>
      </w:pPr>
      <w:r>
        <w:rPr>
          <w:sz w:val="20"/>
        </w:rPr>
        <w:t xml:space="preserve">1.3.1. Информирование о порядке предоставления муниципальной услуги осуществляется:</w:t>
      </w:r>
    </w:p>
    <w:p>
      <w:pPr>
        <w:pStyle w:val="0"/>
        <w:spacing w:before="200" w:lineRule="auto"/>
        <w:ind w:firstLine="540"/>
        <w:jc w:val="both"/>
      </w:pPr>
      <w:r>
        <w:rPr>
          <w:sz w:val="20"/>
        </w:rPr>
        <w:t xml:space="preserve">1) непосредственно при личном приеме заявителя в администрации Афанасьевского муниципального округа Кировской области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pPr>
        <w:pStyle w:val="0"/>
        <w:spacing w:before="200" w:lineRule="auto"/>
        <w:ind w:firstLine="540"/>
        <w:jc w:val="both"/>
      </w:pPr>
      <w:r>
        <w:rPr>
          <w:sz w:val="20"/>
        </w:rPr>
        <w:t xml:space="preserve">2) по телефону Уполномоченного органа или многофункционального центра;</w:t>
      </w:r>
    </w:p>
    <w:p>
      <w:pPr>
        <w:pStyle w:val="0"/>
        <w:spacing w:before="200" w:lineRule="auto"/>
        <w:ind w:firstLine="540"/>
        <w:jc w:val="both"/>
      </w:pPr>
      <w:r>
        <w:rPr>
          <w:sz w:val="20"/>
        </w:rPr>
        <w:t xml:space="preserve">3) письменно, в том числе посредством электронной почты, факсимильной связи;</w:t>
      </w:r>
    </w:p>
    <w:p>
      <w:pPr>
        <w:pStyle w:val="0"/>
        <w:spacing w:before="200" w:lineRule="auto"/>
        <w:ind w:firstLine="540"/>
        <w:jc w:val="both"/>
      </w:pPr>
      <w:r>
        <w:rPr>
          <w:sz w:val="20"/>
        </w:rPr>
        <w:t xml:space="preserve">4) посредством размещения в открытой и доступной форме информации:</w:t>
      </w:r>
    </w:p>
    <w:p>
      <w:pPr>
        <w:pStyle w:val="0"/>
        <w:spacing w:before="200" w:lineRule="auto"/>
        <w:ind w:firstLine="540"/>
        <w:jc w:val="both"/>
      </w:pPr>
      <w:r>
        <w:rPr>
          <w:sz w:val="20"/>
        </w:rPr>
        <w:t xml:space="preserve">в федеральной государственной информационной системе "Единый портал государственных и муниципальных услуг (функций)" (</w:t>
      </w:r>
      <w:hyperlink w:history="0" r:id="rId15">
        <w:r>
          <w:rPr>
            <w:sz w:val="20"/>
            <w:color w:val="0000ff"/>
          </w:rPr>
          <w:t xml:space="preserve">https://www.gosuslugi.ru/</w:t>
        </w:r>
      </w:hyperlink>
      <w:r>
        <w:rPr>
          <w:sz w:val="20"/>
        </w:rPr>
        <w:t xml:space="preserve">) (далее - ЕПГУ, Единый портал);</w:t>
      </w:r>
    </w:p>
    <w:p>
      <w:pPr>
        <w:pStyle w:val="0"/>
        <w:spacing w:before="200" w:lineRule="auto"/>
        <w:ind w:firstLine="540"/>
        <w:jc w:val="both"/>
      </w:pPr>
      <w:r>
        <w:rPr>
          <w:sz w:val="20"/>
        </w:rPr>
        <w:t xml:space="preserve">на Региональном портале государственных и муниципальных услуг (функций) Кировской области", являющемся государственной информационной системой субъекта Российской Федерации (</w:t>
      </w:r>
      <w:hyperlink w:history="0" r:id="rId16">
        <w:r>
          <w:rPr>
            <w:sz w:val="20"/>
            <w:color w:val="0000ff"/>
          </w:rPr>
          <w:t xml:space="preserve">https://www.gosuslugi43.ru/</w:t>
        </w:r>
      </w:hyperlink>
      <w:r>
        <w:rPr>
          <w:sz w:val="20"/>
        </w:rPr>
        <w:t xml:space="preserve">) (далее - Региональный портал);</w:t>
      </w:r>
    </w:p>
    <w:p>
      <w:pPr>
        <w:pStyle w:val="0"/>
        <w:spacing w:before="200" w:lineRule="auto"/>
        <w:ind w:firstLine="540"/>
        <w:jc w:val="both"/>
      </w:pPr>
      <w:r>
        <w:rPr>
          <w:sz w:val="20"/>
        </w:rPr>
        <w:t xml:space="preserve">на официальном сайте Уполномоченного органа;</w:t>
      </w:r>
    </w:p>
    <w:p>
      <w:pPr>
        <w:pStyle w:val="0"/>
        <w:spacing w:before="200" w:lineRule="auto"/>
        <w:ind w:firstLine="540"/>
        <w:jc w:val="both"/>
      </w:pPr>
      <w:r>
        <w:rPr>
          <w:sz w:val="20"/>
        </w:rPr>
        <w:t xml:space="preserve">5) посредством размещения информации на информационных стендах Уполномоченного органа или многофункционального центра.</w:t>
      </w:r>
    </w:p>
    <w:bookmarkStart w:id="69" w:name="P69"/>
    <w:bookmarkEnd w:id="69"/>
    <w:p>
      <w:pPr>
        <w:pStyle w:val="0"/>
        <w:spacing w:before="200" w:lineRule="auto"/>
        <w:ind w:firstLine="540"/>
        <w:jc w:val="both"/>
      </w:pPr>
      <w:r>
        <w:rPr>
          <w:sz w:val="20"/>
        </w:rPr>
        <w:t xml:space="preserve">1.3.2. Информирование осуществляется по вопросам, касающимся:</w:t>
      </w:r>
    </w:p>
    <w:p>
      <w:pPr>
        <w:pStyle w:val="0"/>
        <w:spacing w:before="200" w:lineRule="auto"/>
        <w:ind w:firstLine="540"/>
        <w:jc w:val="both"/>
      </w:pPr>
      <w:r>
        <w:rPr>
          <w:sz w:val="20"/>
        </w:rPr>
        <w:t xml:space="preserve">способов подачи уведомления о планируемом сносе объекта капитального строительства и уведомления о завершении сноса объекта капитального строительства (далее - уведомление о сносе, уведомление о завершении сноса соответственно);</w:t>
      </w:r>
    </w:p>
    <w:p>
      <w:pPr>
        <w:pStyle w:val="0"/>
        <w:spacing w:before="200" w:lineRule="auto"/>
        <w:ind w:firstLine="540"/>
        <w:jc w:val="both"/>
      </w:pPr>
      <w:r>
        <w:rPr>
          <w:sz w:val="20"/>
        </w:rPr>
        <w:t xml:space="preserve">адресов Уполномоченного органа и многофункциональных центров, обращение в которые необходимо для предоставления муниципальной услуги;</w:t>
      </w:r>
    </w:p>
    <w:p>
      <w:pPr>
        <w:pStyle w:val="0"/>
        <w:spacing w:before="200" w:lineRule="auto"/>
        <w:ind w:firstLine="540"/>
        <w:jc w:val="both"/>
      </w:pPr>
      <w:r>
        <w:rPr>
          <w:sz w:val="20"/>
        </w:rPr>
        <w:t xml:space="preserve">справочной информации о работе Уполномоченного органа (структурных подразделений Уполномоченного органа);</w:t>
      </w:r>
    </w:p>
    <w:p>
      <w:pPr>
        <w:pStyle w:val="0"/>
        <w:spacing w:before="200" w:lineRule="auto"/>
        <w:ind w:firstLine="540"/>
        <w:jc w:val="both"/>
      </w:pPr>
      <w:r>
        <w:rPr>
          <w:sz w:val="20"/>
        </w:rPr>
        <w:t xml:space="preserve">документов, необходимых для предоставления муниципальной услуги;</w:t>
      </w:r>
    </w:p>
    <w:p>
      <w:pPr>
        <w:pStyle w:val="0"/>
        <w:spacing w:before="200" w:lineRule="auto"/>
        <w:ind w:firstLine="540"/>
        <w:jc w:val="both"/>
      </w:pPr>
      <w:r>
        <w:rPr>
          <w:sz w:val="20"/>
        </w:rPr>
        <w:t xml:space="preserve">порядка и сроков предоставления муниципальной услуги;</w:t>
      </w:r>
    </w:p>
    <w:p>
      <w:pPr>
        <w:pStyle w:val="0"/>
        <w:spacing w:before="200" w:lineRule="auto"/>
        <w:ind w:firstLine="540"/>
        <w:jc w:val="both"/>
      </w:pPr>
      <w:r>
        <w:rPr>
          <w:sz w:val="20"/>
        </w:rPr>
        <w:t xml:space="preserve">порядка получения сведений о ходе рассмотрения уведомления о планируемом сносе либо о завершении сноса и о результатах предоставления муниципальной услуги;</w:t>
      </w:r>
    </w:p>
    <w:p>
      <w:pPr>
        <w:pStyle w:val="0"/>
        <w:spacing w:before="200" w:lineRule="auto"/>
        <w:ind w:firstLine="540"/>
        <w:jc w:val="both"/>
      </w:pPr>
      <w:r>
        <w:rPr>
          <w:sz w:val="20"/>
        </w:rPr>
        <w:t xml:space="preserve">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pPr>
        <w:pStyle w:val="0"/>
        <w:spacing w:before="200" w:lineRule="auto"/>
        <w:ind w:firstLine="540"/>
        <w:jc w:val="both"/>
      </w:pPr>
      <w:r>
        <w:rPr>
          <w:sz w:val="20"/>
        </w:rPr>
        <w:t xml:space="preserve">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pPr>
        <w:pStyle w:val="0"/>
        <w:spacing w:before="200" w:lineRule="auto"/>
        <w:ind w:firstLine="540"/>
        <w:jc w:val="both"/>
      </w:pPr>
      <w:r>
        <w:rPr>
          <w:sz w:val="20"/>
        </w:rPr>
        <w:t xml:space="preserve">1.3.3.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pPr>
        <w:pStyle w:val="0"/>
        <w:spacing w:before="200" w:lineRule="auto"/>
        <w:ind w:firstLine="540"/>
        <w:jc w:val="both"/>
      </w:pPr>
      <w:r>
        <w:rPr>
          <w:sz w:val="20"/>
        </w:rPr>
        <w:t xml:space="preserve">Ответ на телефонный звонок должен начинаться с информации 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pPr>
        <w:pStyle w:val="0"/>
        <w:spacing w:before="200" w:lineRule="auto"/>
        <w:ind w:firstLine="540"/>
        <w:jc w:val="both"/>
      </w:pPr>
      <w:r>
        <w:rPr>
          <w:sz w:val="20"/>
        </w:rPr>
        <w:t xml:space="preserve">Если должностное лицо Уполномоченного органа не может самостоятельно дать ответ, телефонный звонок должен быть переадресован (переведен) другому должностному лицу или же обратившемуся лицу должен быть сообщен телефонный номер, по которому можно будет получить необходимую информацию.</w:t>
      </w:r>
    </w:p>
    <w:p>
      <w:pPr>
        <w:pStyle w:val="0"/>
        <w:spacing w:before="200" w:lineRule="auto"/>
        <w:ind w:firstLine="540"/>
        <w:jc w:val="both"/>
      </w:pPr>
      <w:r>
        <w:rPr>
          <w:sz w:val="20"/>
        </w:rPr>
        <w:t xml:space="preserve">Если подготовка ответа требует продолжительного времени, он предлагает заявителю один из следующих вариантов дальнейших действий:</w:t>
      </w:r>
    </w:p>
    <w:p>
      <w:pPr>
        <w:pStyle w:val="0"/>
        <w:spacing w:before="200" w:lineRule="auto"/>
        <w:ind w:firstLine="540"/>
        <w:jc w:val="both"/>
      </w:pPr>
      <w:r>
        <w:rPr>
          <w:sz w:val="20"/>
        </w:rPr>
        <w:t xml:space="preserve">изложить обращение в письменной форме;</w:t>
      </w:r>
    </w:p>
    <w:p>
      <w:pPr>
        <w:pStyle w:val="0"/>
        <w:spacing w:before="200" w:lineRule="auto"/>
        <w:ind w:firstLine="540"/>
        <w:jc w:val="both"/>
      </w:pPr>
      <w:r>
        <w:rPr>
          <w:sz w:val="20"/>
        </w:rPr>
        <w:t xml:space="preserve">назначить другое время для консультаций.</w:t>
      </w:r>
    </w:p>
    <w:p>
      <w:pPr>
        <w:pStyle w:val="0"/>
        <w:spacing w:before="200" w:lineRule="auto"/>
        <w:ind w:firstLine="540"/>
        <w:jc w:val="both"/>
      </w:pPr>
      <w:r>
        <w:rPr>
          <w:sz w:val="20"/>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pPr>
        <w:pStyle w:val="0"/>
        <w:spacing w:before="200" w:lineRule="auto"/>
        <w:ind w:firstLine="540"/>
        <w:jc w:val="both"/>
      </w:pPr>
      <w:r>
        <w:rPr>
          <w:sz w:val="20"/>
        </w:rPr>
        <w:t xml:space="preserve">Продолжительность информирования по телефону не должна превышать 10 минут.</w:t>
      </w:r>
    </w:p>
    <w:p>
      <w:pPr>
        <w:pStyle w:val="0"/>
        <w:spacing w:before="200" w:lineRule="auto"/>
        <w:ind w:firstLine="540"/>
        <w:jc w:val="both"/>
      </w:pPr>
      <w:r>
        <w:rPr>
          <w:sz w:val="20"/>
        </w:rPr>
        <w:t xml:space="preserve">Информирование осуществляется в соответствии с графиком приема граждан.</w:t>
      </w:r>
    </w:p>
    <w:p>
      <w:pPr>
        <w:pStyle w:val="0"/>
        <w:spacing w:before="200" w:lineRule="auto"/>
        <w:ind w:firstLine="540"/>
        <w:jc w:val="both"/>
      </w:pPr>
      <w:r>
        <w:rPr>
          <w:sz w:val="20"/>
        </w:rPr>
        <w:t xml:space="preserve">1.3.4.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w:t>
      </w:r>
      <w:hyperlink w:history="0" w:anchor="P69" w:tooltip="1.3.2. Информирование осуществляется по вопросам, касающимся:">
        <w:r>
          <w:rPr>
            <w:sz w:val="20"/>
            <w:color w:val="0000ff"/>
          </w:rPr>
          <w:t xml:space="preserve">пункте 1.3.2</w:t>
        </w:r>
      </w:hyperlink>
      <w:r>
        <w:rPr>
          <w:sz w:val="20"/>
        </w:rPr>
        <w:t xml:space="preserve"> настоящего Административного регламента, в порядке, установленном Федеральным </w:t>
      </w:r>
      <w:hyperlink w:history="0" r:id="rId17" w:tooltip="Федеральный закон от 02.05.2006 N 59-ФЗ (ред. от 28.12.2024)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 (далее - Федеральный закон N 59-ФЗ).</w:t>
      </w:r>
    </w:p>
    <w:p>
      <w:pPr>
        <w:pStyle w:val="0"/>
        <w:spacing w:before="200" w:lineRule="auto"/>
        <w:ind w:firstLine="540"/>
        <w:jc w:val="both"/>
      </w:pPr>
      <w:r>
        <w:rPr>
          <w:sz w:val="20"/>
        </w:rPr>
        <w:t xml:space="preserve">1.3.5. На ЕПГУ размещаются сведения, предусмотренные </w:t>
      </w:r>
      <w:hyperlink w:history="0" r:id="rId18"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Положением</w:t>
        </w:r>
      </w:hyperlink>
      <w:r>
        <w:rPr>
          <w:sz w:val="20"/>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N 861.</w:t>
      </w:r>
    </w:p>
    <w:p>
      <w:pPr>
        <w:pStyle w:val="0"/>
        <w:spacing w:before="200" w:lineRule="auto"/>
        <w:ind w:firstLine="540"/>
        <w:jc w:val="both"/>
      </w:pPr>
      <w:r>
        <w:rPr>
          <w:sz w:val="20"/>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0"/>
        <w:spacing w:before="200" w:lineRule="auto"/>
        <w:ind w:firstLine="540"/>
        <w:jc w:val="both"/>
      </w:pPr>
      <w:r>
        <w:rPr>
          <w:sz w:val="20"/>
        </w:rPr>
        <w:t xml:space="preserve">1.3.6.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pPr>
        <w:pStyle w:val="0"/>
        <w:spacing w:before="200" w:lineRule="auto"/>
        <w:ind w:firstLine="540"/>
        <w:jc w:val="both"/>
      </w:pPr>
      <w:r>
        <w:rPr>
          <w:sz w:val="20"/>
        </w:rPr>
        <w:t xml:space="preserve">место нахождения и график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pPr>
        <w:pStyle w:val="0"/>
        <w:spacing w:before="200" w:lineRule="auto"/>
        <w:ind w:firstLine="540"/>
        <w:jc w:val="both"/>
      </w:pPr>
      <w:r>
        <w:rPr>
          <w:sz w:val="20"/>
        </w:rPr>
        <w:t xml:space="preserve">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pPr>
        <w:pStyle w:val="0"/>
        <w:spacing w:before="200" w:lineRule="auto"/>
        <w:ind w:firstLine="540"/>
        <w:jc w:val="both"/>
      </w:pPr>
      <w:r>
        <w:rPr>
          <w:sz w:val="20"/>
        </w:rPr>
        <w:t xml:space="preserve">адрес официального сайта, а также электронной почты и (или) формы обратной связи Уполномоченного органа в сети "Интернет".</w:t>
      </w:r>
    </w:p>
    <w:p>
      <w:pPr>
        <w:pStyle w:val="0"/>
        <w:spacing w:before="200" w:lineRule="auto"/>
        <w:ind w:firstLine="540"/>
        <w:jc w:val="both"/>
      </w:pPr>
      <w:r>
        <w:rPr>
          <w:sz w:val="20"/>
        </w:rPr>
        <w:t xml:space="preserve">1.3.7.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pPr>
        <w:pStyle w:val="0"/>
        <w:spacing w:before="200" w:lineRule="auto"/>
        <w:ind w:firstLine="540"/>
        <w:jc w:val="both"/>
      </w:pPr>
      <w:r>
        <w:rPr>
          <w:sz w:val="20"/>
        </w:rPr>
        <w:t xml:space="preserve">1.3.8.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pPr>
        <w:pStyle w:val="0"/>
        <w:spacing w:before="200" w:lineRule="auto"/>
        <w:ind w:firstLine="540"/>
        <w:jc w:val="both"/>
      </w:pPr>
      <w:r>
        <w:rPr>
          <w:sz w:val="20"/>
        </w:rPr>
        <w:t xml:space="preserve">1.3.9. Информация о ходе рассмотрения уведомления об окончании строительства и о результатах предоставления муниципальной услуги может быть получена заявителем (его представителем) в личном кабинете на ЕПГУ,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pPr>
        <w:pStyle w:val="2"/>
        <w:spacing w:before="200" w:lineRule="auto"/>
        <w:outlineLvl w:val="1"/>
        <w:ind w:firstLine="540"/>
        <w:jc w:val="both"/>
      </w:pPr>
      <w:r>
        <w:rPr>
          <w:sz w:val="20"/>
        </w:rPr>
        <w:t xml:space="preserve">2. Стандарт предоставления муниципальной услуги.</w:t>
      </w:r>
    </w:p>
    <w:p>
      <w:pPr>
        <w:pStyle w:val="0"/>
        <w:spacing w:before="200" w:lineRule="auto"/>
        <w:ind w:firstLine="540"/>
        <w:jc w:val="both"/>
      </w:pPr>
      <w:r>
        <w:rPr>
          <w:sz w:val="20"/>
        </w:rPr>
        <w:t xml:space="preserve">2.1. Наименование муниципальной услуги:</w:t>
      </w:r>
    </w:p>
    <w:p>
      <w:pPr>
        <w:pStyle w:val="0"/>
        <w:spacing w:before="200" w:lineRule="auto"/>
        <w:ind w:firstLine="540"/>
        <w:jc w:val="both"/>
      </w:pPr>
      <w:r>
        <w:rPr>
          <w:sz w:val="20"/>
        </w:rPr>
        <w:t xml:space="preserve">"Направление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0"/>
        <w:spacing w:before="200" w:lineRule="auto"/>
        <w:ind w:firstLine="540"/>
        <w:jc w:val="both"/>
      </w:pPr>
      <w:r>
        <w:rPr>
          <w:sz w:val="20"/>
        </w:rPr>
        <w:t xml:space="preserve">Муниципальная услуга предоставляется Уполномоченным органом - администрацией Афанасьевского муниципального округа Кировской области.</w:t>
      </w:r>
    </w:p>
    <w:p>
      <w:pPr>
        <w:pStyle w:val="0"/>
        <w:jc w:val="both"/>
      </w:pPr>
      <w:r>
        <w:rPr>
          <w:sz w:val="20"/>
        </w:rPr>
        <w:t xml:space="preserve">(п. 2.1 в ред. </w:t>
      </w:r>
      <w:hyperlink w:history="0" r:id="rId19" w:tooltip="Постановление администрации Афанасьевского муниципального округа Кировской области от 27.07.2023 N 442 &quot;О внесении изменений в постановление администрации Афанасьевского муниципального округа Кировской области от 17.02.2023 N 88&quot; (вместе с &quot;Уведомлением о планируемом сносе объекта капитального строительства&quot;, &quot;Уведомлением о завершении сноса объекта капитального строительства&quot;) {КонсультантПлюс}">
        <w:r>
          <w:rPr>
            <w:sz w:val="20"/>
            <w:color w:val="0000ff"/>
          </w:rPr>
          <w:t xml:space="preserve">постановления</w:t>
        </w:r>
      </w:hyperlink>
      <w:r>
        <w:rPr>
          <w:sz w:val="20"/>
        </w:rPr>
        <w:t xml:space="preserve"> администрации Афанасьевского муниципального округа Кировской области от 27.07.2023 N 442)</w:t>
      </w:r>
    </w:p>
    <w:p>
      <w:pPr>
        <w:pStyle w:val="0"/>
        <w:spacing w:before="200" w:lineRule="auto"/>
        <w:ind w:firstLine="540"/>
        <w:jc w:val="both"/>
      </w:pPr>
      <w:r>
        <w:rPr>
          <w:sz w:val="20"/>
        </w:rPr>
        <w:t xml:space="preserve">2.2. Состав заявителей.</w:t>
      </w:r>
    </w:p>
    <w:p>
      <w:pPr>
        <w:pStyle w:val="0"/>
        <w:spacing w:before="200" w:lineRule="auto"/>
        <w:ind w:firstLine="540"/>
        <w:jc w:val="both"/>
      </w:pPr>
      <w:r>
        <w:rPr>
          <w:sz w:val="20"/>
        </w:rPr>
        <w:t xml:space="preserve">Заявителями при обращении за получением услуги являются застройщики.</w:t>
      </w:r>
    </w:p>
    <w:p>
      <w:pPr>
        <w:pStyle w:val="0"/>
        <w:spacing w:before="200" w:lineRule="auto"/>
        <w:ind w:firstLine="540"/>
        <w:jc w:val="both"/>
      </w:pPr>
      <w:r>
        <w:rPr>
          <w:sz w:val="20"/>
        </w:rPr>
        <w:t xml:space="preserve">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pPr>
        <w:pStyle w:val="0"/>
        <w:spacing w:before="200" w:lineRule="auto"/>
        <w:ind w:firstLine="540"/>
        <w:jc w:val="both"/>
      </w:pPr>
      <w:r>
        <w:rPr>
          <w:sz w:val="20"/>
        </w:rPr>
        <w:t xml:space="preserve">2.3. Исключен. - </w:t>
      </w:r>
      <w:hyperlink w:history="0" r:id="rId20" w:tooltip="Постановление администрации Афанасьевского муниципального округа Кировской области от 26.03.2025 N 197 &quot;О внесении изменений в постановление администрации Афанасьевского муниципального округа Кировской области от 17.02.2023 N 88&quot; {КонсультантПлюс}">
        <w:r>
          <w:rPr>
            <w:sz w:val="20"/>
            <w:color w:val="0000ff"/>
          </w:rPr>
          <w:t xml:space="preserve">Постановление</w:t>
        </w:r>
      </w:hyperlink>
      <w:r>
        <w:rPr>
          <w:sz w:val="20"/>
        </w:rPr>
        <w:t xml:space="preserve"> администрации Афанасьевского муниципального округа Кировской области от 26.03.2025 N 197.</w:t>
      </w:r>
    </w:p>
    <w:p>
      <w:pPr>
        <w:pStyle w:val="0"/>
        <w:spacing w:before="200" w:lineRule="auto"/>
        <w:ind w:firstLine="540"/>
        <w:jc w:val="both"/>
      </w:pPr>
      <w:r>
        <w:rPr>
          <w:sz w:val="20"/>
        </w:rPr>
        <w:t xml:space="preserve">2.4.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bookmarkStart w:id="107" w:name="P107"/>
    <w:bookmarkEnd w:id="107"/>
    <w:p>
      <w:pPr>
        <w:pStyle w:val="0"/>
        <w:spacing w:before="200" w:lineRule="auto"/>
        <w:ind w:firstLine="540"/>
        <w:jc w:val="both"/>
      </w:pPr>
      <w:r>
        <w:rPr>
          <w:sz w:val="20"/>
        </w:rPr>
        <w:t xml:space="preserve">2.4.1. Заявитель или его представитель представляет в Уполномоченный орган местного самоуправления уведомление о сносе, уведомление о завершении сноса 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нему документы, указанные в </w:t>
      </w:r>
      <w:hyperlink w:history="0" w:anchor="P174" w:tooltip="2.8. Результатом предоставления услуги является:">
        <w:r>
          <w:rPr>
            <w:sz w:val="20"/>
            <w:color w:val="0000ff"/>
          </w:rPr>
          <w:t xml:space="preserve">пункте 2.8</w:t>
        </w:r>
      </w:hyperlink>
      <w:r>
        <w:rPr>
          <w:sz w:val="20"/>
        </w:rPr>
        <w:t xml:space="preserve"> настоящего Административного регламента, одним из следующих способов по выбору заявителя:</w:t>
      </w:r>
    </w:p>
    <w:bookmarkStart w:id="108" w:name="P108"/>
    <w:bookmarkEnd w:id="108"/>
    <w:p>
      <w:pPr>
        <w:pStyle w:val="0"/>
        <w:spacing w:before="200" w:lineRule="auto"/>
        <w:ind w:firstLine="540"/>
        <w:jc w:val="both"/>
      </w:pPr>
      <w:r>
        <w:rPr>
          <w:sz w:val="20"/>
        </w:rPr>
        <w:t xml:space="preserve">а) в электронной форме посредством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pPr>
        <w:pStyle w:val="0"/>
        <w:spacing w:before="200" w:lineRule="auto"/>
        <w:ind w:firstLine="540"/>
        <w:jc w:val="both"/>
      </w:pPr>
      <w:r>
        <w:rPr>
          <w:sz w:val="20"/>
        </w:rPr>
        <w:t xml:space="preserve">В случае направления уведомления о сносе, уведомления о завершении сноса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заполняет формы указанных уведомлений с использованием интерактивной формы в электронном виде.</w:t>
      </w:r>
    </w:p>
    <w:p>
      <w:pPr>
        <w:pStyle w:val="0"/>
        <w:spacing w:before="200" w:lineRule="auto"/>
        <w:ind w:firstLine="540"/>
        <w:jc w:val="both"/>
      </w:pPr>
      <w:r>
        <w:rPr>
          <w:sz w:val="20"/>
        </w:rPr>
        <w:t xml:space="preserve">Уведомление о сносе, уведомление о завершении сноса направляется заявителем или его представителем вместе с прикрепленными электронными документами, указанными в </w:t>
      </w:r>
      <w:hyperlink w:history="0" w:anchor="P174" w:tooltip="2.8. Результатом предоставления услуги является:">
        <w:r>
          <w:rPr>
            <w:sz w:val="20"/>
            <w:color w:val="0000ff"/>
          </w:rPr>
          <w:t xml:space="preserve">пункте 2.8</w:t>
        </w:r>
      </w:hyperlink>
      <w:r>
        <w:rPr>
          <w:sz w:val="20"/>
        </w:rPr>
        <w:t xml:space="preserve"> настоящего Административного регламента. Уведомление о сносе, уведомление о завершении сноса подписываются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w:history="0" r:id="rId21" w:tooltip="Федеральный закон от 06.04.2011 N 63-ФЗ (ред. от 31.07.2025) &quot;Об электронной подписи&quot; {КонсультантПлюс}">
        <w:r>
          <w:rPr>
            <w:sz w:val="20"/>
            <w:color w:val="0000ff"/>
          </w:rPr>
          <w:t xml:space="preserve">частью 5 статьи 8</w:t>
        </w:r>
      </w:hyperlink>
      <w:r>
        <w:rPr>
          <w:sz w:val="20"/>
        </w:rPr>
        <w:t xml:space="preserve">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w:t>
      </w:r>
      <w:hyperlink w:history="0" r:id="rId22" w:tooltip="Постановление Правительства РФ от 25.01.2013 N 33 (ред. от 03.04.2026)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0"/>
            <w:color w:val="0000ff"/>
          </w:rPr>
          <w:t xml:space="preserve">Правилами</w:t>
        </w:r>
      </w:hyperlink>
      <w:r>
        <w:rPr>
          <w:sz w:val="20"/>
        </w:rPr>
        <w:t xml:space="preserve">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N 33 "Об использовании простой электронной подписи при оказании государственных и муниципальных услуг", в соответствии с </w:t>
      </w:r>
      <w:hyperlink w:history="0" r:id="rId23" w:tooltip="Постановление Правительства РФ от 25.06.2012 N 634 (ред. от 13.03.202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и, использование которых допускается при обращении за получением государственных и муниципальных услуг&quot;) {КонсультантПлюс}">
        <w:r>
          <w:rPr>
            <w:sz w:val="20"/>
            <w:color w:val="0000ff"/>
          </w:rPr>
          <w:t xml:space="preserve">Правилами</w:t>
        </w:r>
      </w:hyperlink>
      <w:r>
        <w:rPr>
          <w:sz w:val="20"/>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N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bookmarkStart w:id="111" w:name="P111"/>
    <w:bookmarkEnd w:id="111"/>
    <w:p>
      <w:pPr>
        <w:pStyle w:val="0"/>
        <w:spacing w:before="200" w:lineRule="auto"/>
        <w:ind w:firstLine="540"/>
        <w:jc w:val="both"/>
      </w:pPr>
      <w:r>
        <w:rPr>
          <w:sz w:val="20"/>
        </w:rPr>
        <w:t xml:space="preserve">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w:t>
      </w:r>
      <w:hyperlink w:history="0" r:id="rId24"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постановлением</w:t>
        </w:r>
      </w:hyperlink>
      <w:r>
        <w:rPr>
          <w:sz w:val="20"/>
        </w:rPr>
        <w:t xml:space="preserve"> Правительства Российской Федерации от 27 сентября 2011 года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pPr>
        <w:pStyle w:val="0"/>
        <w:spacing w:before="200" w:lineRule="auto"/>
        <w:ind w:firstLine="540"/>
        <w:jc w:val="both"/>
      </w:pPr>
      <w:r>
        <w:rPr>
          <w:sz w:val="20"/>
        </w:rPr>
        <w:t xml:space="preserve">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w:t>
      </w:r>
      <w:hyperlink w:history="0" r:id="rId25"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постановлением</w:t>
        </w:r>
      </w:hyperlink>
      <w:r>
        <w:rPr>
          <w:sz w:val="20"/>
        </w:rPr>
        <w:t xml:space="preserve"> Правительства Российской Федерации от 22 декабря 2012 года N 1376 "Об утверждении Правил организации деятельности многофункциональных центров предоставления государственных и муниципальных услуг".</w:t>
      </w:r>
    </w:p>
    <w:bookmarkStart w:id="113" w:name="P113"/>
    <w:bookmarkEnd w:id="113"/>
    <w:p>
      <w:pPr>
        <w:pStyle w:val="0"/>
        <w:spacing w:before="200" w:lineRule="auto"/>
        <w:ind w:firstLine="540"/>
        <w:jc w:val="both"/>
      </w:pPr>
      <w:r>
        <w:rPr>
          <w:sz w:val="20"/>
        </w:rPr>
        <w:t xml:space="preserve">2.4.2. Документы, прилагаемые к уведомлению о сносе, уведомлению о завершении сноса, представляемые в электронной форме, направляются в следующих форматах:</w:t>
      </w:r>
    </w:p>
    <w:p>
      <w:pPr>
        <w:pStyle w:val="0"/>
        <w:spacing w:before="200" w:lineRule="auto"/>
        <w:ind w:firstLine="540"/>
        <w:jc w:val="both"/>
      </w:pPr>
      <w:r>
        <w:rPr>
          <w:sz w:val="20"/>
        </w:rPr>
        <w:t xml:space="preserve">а) xml - для документов, в отношении которых утверждены формы и требования по формированию электронных документов в виде файлов в формате xml;</w:t>
      </w:r>
    </w:p>
    <w:p>
      <w:pPr>
        <w:pStyle w:val="0"/>
        <w:spacing w:before="200" w:lineRule="auto"/>
        <w:ind w:firstLine="540"/>
        <w:jc w:val="both"/>
      </w:pPr>
      <w:r>
        <w:rPr>
          <w:sz w:val="20"/>
        </w:rPr>
        <w:t xml:space="preserve">б) doc, docx, odt - для документов с текстовым содержанием, не включающим формулы;</w:t>
      </w:r>
    </w:p>
    <w:p>
      <w:pPr>
        <w:pStyle w:val="0"/>
        <w:spacing w:before="200" w:lineRule="auto"/>
        <w:ind w:firstLine="540"/>
        <w:jc w:val="both"/>
      </w:pPr>
      <w:r>
        <w:rPr>
          <w:sz w:val="20"/>
        </w:rPr>
        <w:t xml:space="preserve">в) pdf, jpg, jpeg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pPr>
        <w:pStyle w:val="0"/>
        <w:spacing w:before="200" w:lineRule="auto"/>
        <w:ind w:firstLine="540"/>
        <w:jc w:val="both"/>
      </w:pPr>
      <w:r>
        <w:rPr>
          <w:sz w:val="20"/>
        </w:rPr>
        <w:t xml:space="preserve">2.4.3. В случае если оригиналы документов, прилагаемых к уведомлению о сносе, уведомлению о завершении сноса,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pPr>
        <w:pStyle w:val="0"/>
        <w:spacing w:before="200" w:lineRule="auto"/>
        <w:ind w:firstLine="540"/>
        <w:jc w:val="both"/>
      </w:pPr>
      <w:r>
        <w:rPr>
          <w:sz w:val="20"/>
        </w:rPr>
        <w:t xml:space="preserve">"черно-белый" (при отсутствии в документе графических изображений и (или) цветного текста);</w:t>
      </w:r>
    </w:p>
    <w:p>
      <w:pPr>
        <w:pStyle w:val="0"/>
        <w:spacing w:before="200" w:lineRule="auto"/>
        <w:ind w:firstLine="540"/>
        <w:jc w:val="both"/>
      </w:pPr>
      <w:r>
        <w:rPr>
          <w:sz w:val="20"/>
        </w:rPr>
        <w:t xml:space="preserve">"оттенки серого" (при наличии в документе графических изображений, отличных от цветного графического изображения);</w:t>
      </w:r>
    </w:p>
    <w:p>
      <w:pPr>
        <w:pStyle w:val="0"/>
        <w:spacing w:before="200" w:lineRule="auto"/>
        <w:ind w:firstLine="540"/>
        <w:jc w:val="both"/>
      </w:pPr>
      <w:r>
        <w:rPr>
          <w:sz w:val="20"/>
        </w:rPr>
        <w:t xml:space="preserve">"цветной" или "режим полной цветопередачи" (при наличии в документе цветных графических изображений либо цветного текста).</w:t>
      </w:r>
    </w:p>
    <w:p>
      <w:pPr>
        <w:pStyle w:val="0"/>
        <w:spacing w:before="200" w:lineRule="auto"/>
        <w:ind w:firstLine="540"/>
        <w:jc w:val="both"/>
      </w:pPr>
      <w:r>
        <w:rPr>
          <w:sz w:val="20"/>
        </w:rPr>
        <w:t xml:space="preserve">Количество файлов должно соответствовать количеству документов, каждый из которых содержит текстовую и (или) графическую информацию.</w:t>
      </w:r>
    </w:p>
    <w:bookmarkStart w:id="122" w:name="P122"/>
    <w:bookmarkEnd w:id="122"/>
    <w:p>
      <w:pPr>
        <w:pStyle w:val="0"/>
        <w:spacing w:before="200" w:lineRule="auto"/>
        <w:ind w:firstLine="540"/>
        <w:jc w:val="both"/>
      </w:pPr>
      <w:r>
        <w:rPr>
          <w:sz w:val="20"/>
        </w:rPr>
        <w:t xml:space="preserve">2.4.4. Документы, прилагаемые заявителем к уведомлению о сносе, уведомлению о завершении сноса, представляемые в электронной форме, должны обеспечивать возможность идентифицировать документ и количество листов в документе.</w:t>
      </w:r>
    </w:p>
    <w:p>
      <w:pPr>
        <w:pStyle w:val="0"/>
        <w:spacing w:before="200" w:lineRule="auto"/>
        <w:ind w:firstLine="540"/>
        <w:jc w:val="both"/>
      </w:pPr>
      <w:r>
        <w:rPr>
          <w:sz w:val="20"/>
        </w:rPr>
        <w:t xml:space="preserve">Документы, подлежащие представлению в форматах xls, xlsx или ods, формируются в виде отдельного документа, представляемого в электронной форме.</w:t>
      </w:r>
    </w:p>
    <w:bookmarkStart w:id="124" w:name="P124"/>
    <w:bookmarkEnd w:id="124"/>
    <w:p>
      <w:pPr>
        <w:pStyle w:val="0"/>
        <w:spacing w:before="200" w:lineRule="auto"/>
        <w:ind w:firstLine="540"/>
        <w:jc w:val="both"/>
      </w:pPr>
      <w:r>
        <w:rPr>
          <w:sz w:val="20"/>
        </w:rPr>
        <w:t xml:space="preserve">2.4.5. Исчерпывающий перечень документов, необходимых для предоставления услуги, подлежащих представлению заявителем самостоятельно:</w:t>
      </w:r>
    </w:p>
    <w:p>
      <w:pPr>
        <w:pStyle w:val="0"/>
        <w:spacing w:before="200" w:lineRule="auto"/>
        <w:ind w:firstLine="540"/>
        <w:jc w:val="both"/>
      </w:pPr>
      <w:r>
        <w:rPr>
          <w:sz w:val="20"/>
        </w:rPr>
        <w:t xml:space="preserve">а) уведомление о сносе. В случае представления уведомления о сносе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 Региональном портале;</w:t>
      </w:r>
    </w:p>
    <w:p>
      <w:pPr>
        <w:pStyle w:val="0"/>
        <w:spacing w:before="200" w:lineRule="auto"/>
        <w:ind w:firstLine="540"/>
        <w:jc w:val="both"/>
      </w:pPr>
      <w:r>
        <w:rPr>
          <w:sz w:val="20"/>
        </w:rPr>
        <w:t xml:space="preserve">б) документ, удостоверяющий личность заявителя или представителя заявителя, в случае представления уведомления о сносе, уведомления о завершении сноса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направление указанного документа не требуется;</w:t>
      </w:r>
    </w:p>
    <w:p>
      <w:pPr>
        <w:pStyle w:val="0"/>
        <w:spacing w:before="200" w:lineRule="auto"/>
        <w:ind w:firstLine="540"/>
        <w:jc w:val="both"/>
      </w:pPr>
      <w:r>
        <w:rPr>
          <w:sz w:val="20"/>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pPr>
        <w:pStyle w:val="0"/>
        <w:spacing w:before="200" w:lineRule="auto"/>
        <w:ind w:firstLine="540"/>
        <w:jc w:val="both"/>
      </w:pPr>
      <w:r>
        <w:rPr>
          <w:sz w:val="20"/>
        </w:rPr>
        <w:t xml:space="preserve">г) нотариально удостоверенное согласие всех правообладателей объекта капитального строительства на снос (в случае, если у заявленного в уведомлении объекта капитального строительства более одного правообладателя);</w:t>
      </w:r>
    </w:p>
    <w:p>
      <w:pPr>
        <w:pStyle w:val="0"/>
        <w:spacing w:before="200" w:lineRule="auto"/>
        <w:ind w:firstLine="540"/>
        <w:jc w:val="both"/>
      </w:pPr>
      <w:r>
        <w:rPr>
          <w:sz w:val="20"/>
        </w:rPr>
        <w:t xml:space="preserve">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pPr>
        <w:pStyle w:val="0"/>
        <w:spacing w:before="200" w:lineRule="auto"/>
        <w:ind w:firstLine="540"/>
        <w:jc w:val="both"/>
      </w:pPr>
      <w:r>
        <w:rPr>
          <w:sz w:val="20"/>
        </w:rPr>
        <w:t xml:space="preserve">е) результаты и материалы обследования объекта капитального строительства (в случае направления уведомления о сносе);</w:t>
      </w:r>
    </w:p>
    <w:p>
      <w:pPr>
        <w:pStyle w:val="0"/>
        <w:spacing w:before="200" w:lineRule="auto"/>
        <w:ind w:firstLine="540"/>
        <w:jc w:val="both"/>
      </w:pPr>
      <w:r>
        <w:rPr>
          <w:sz w:val="20"/>
        </w:rPr>
        <w:t xml:space="preserve">ж) проект организации работ по сносу объекта капитального строительства (в случае направления уведомления о сносе);</w:t>
      </w:r>
    </w:p>
    <w:p>
      <w:pPr>
        <w:pStyle w:val="0"/>
        <w:spacing w:before="200" w:lineRule="auto"/>
        <w:ind w:firstLine="540"/>
        <w:jc w:val="both"/>
      </w:pPr>
      <w:r>
        <w:rPr>
          <w:sz w:val="20"/>
        </w:rPr>
        <w:t xml:space="preserve">з) уведомление о завершении сноса.</w:t>
      </w:r>
    </w:p>
    <w:p>
      <w:pPr>
        <w:pStyle w:val="0"/>
        <w:spacing w:before="200" w:lineRule="auto"/>
        <w:ind w:firstLine="540"/>
        <w:jc w:val="both"/>
      </w:pPr>
      <w:r>
        <w:rPr>
          <w:sz w:val="20"/>
        </w:rPr>
        <w:t xml:space="preserve">2.4.6.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pPr>
        <w:pStyle w:val="0"/>
        <w:spacing w:before="200" w:lineRule="auto"/>
        <w:ind w:firstLine="540"/>
        <w:jc w:val="both"/>
      </w:pPr>
      <w:r>
        <w:rPr>
          <w:sz w:val="20"/>
        </w:rPr>
        <w:t xml:space="preserve">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pPr>
        <w:pStyle w:val="0"/>
        <w:spacing w:before="200" w:lineRule="auto"/>
        <w:ind w:firstLine="540"/>
        <w:jc w:val="both"/>
      </w:pPr>
      <w:r>
        <w:rPr>
          <w:sz w:val="20"/>
        </w:rPr>
        <w:t xml:space="preserve">б) сведения из Единого государственного реестра недвижимости (в случае направления уведомлений по объектам недвижимости, права на которые зарегистрированы в Едином государственном реестре недвижимости);</w:t>
      </w:r>
    </w:p>
    <w:p>
      <w:pPr>
        <w:pStyle w:val="0"/>
        <w:spacing w:before="200" w:lineRule="auto"/>
        <w:ind w:firstLine="540"/>
        <w:jc w:val="both"/>
      </w:pPr>
      <w:r>
        <w:rPr>
          <w:sz w:val="20"/>
        </w:rPr>
        <w:t xml:space="preserve">в) решение суда о сносе объекта капитального строительства;</w:t>
      </w:r>
    </w:p>
    <w:p>
      <w:pPr>
        <w:pStyle w:val="0"/>
        <w:spacing w:before="200" w:lineRule="auto"/>
        <w:ind w:firstLine="540"/>
        <w:jc w:val="both"/>
      </w:pPr>
      <w:r>
        <w:rPr>
          <w:sz w:val="20"/>
        </w:rPr>
        <w:t xml:space="preserve">г) решение органа местного самоуправления о сносе объекта капитального строительства.</w:t>
      </w:r>
    </w:p>
    <w:p>
      <w:pPr>
        <w:pStyle w:val="0"/>
        <w:spacing w:before="200" w:lineRule="auto"/>
        <w:ind w:firstLine="540"/>
        <w:jc w:val="both"/>
      </w:pPr>
      <w:r>
        <w:rPr>
          <w:sz w:val="20"/>
        </w:rPr>
        <w:t xml:space="preserve">2.4.7. При предоставлении муниципальной услуги Уполномоченный орган не вправе требовать от заявителя:</w:t>
      </w:r>
    </w:p>
    <w:p>
      <w:pPr>
        <w:pStyle w:val="0"/>
        <w:spacing w:before="200" w:lineRule="auto"/>
        <w:ind w:firstLine="540"/>
        <w:jc w:val="both"/>
      </w:pPr>
      <w:r>
        <w:rPr>
          <w:sz w:val="20"/>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0"/>
        <w:spacing w:before="200" w:lineRule="auto"/>
        <w:ind w:firstLine="540"/>
        <w:jc w:val="both"/>
      </w:pPr>
      <w:r>
        <w:rPr>
          <w:sz w:val="20"/>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w:history="0" r:id="rId26"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 статьи 1</w:t>
        </w:r>
      </w:hyperlink>
      <w:r>
        <w:rPr>
          <w:sz w:val="20"/>
        </w:rPr>
        <w:t xml:space="preserve"> Федерального закона N 210-ФЗ,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history="0" r:id="rId27"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6 статьи 7</w:t>
        </w:r>
      </w:hyperlink>
      <w:r>
        <w:rPr>
          <w:sz w:val="20"/>
        </w:rPr>
        <w:t xml:space="preserve"> Федерального закона N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pPr>
        <w:pStyle w:val="0"/>
        <w:spacing w:before="200" w:lineRule="auto"/>
        <w:ind w:firstLine="540"/>
        <w:jc w:val="both"/>
      </w:pPr>
      <w:r>
        <w:rPr>
          <w:sz w:val="20"/>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history="0" r:id="rId28"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части 1 статьи 9</w:t>
        </w:r>
      </w:hyperlink>
      <w:r>
        <w:rPr>
          <w:sz w:val="20"/>
        </w:rPr>
        <w:t xml:space="preserve"> Федерального закона N 210-ФЗ;</w:t>
      </w:r>
    </w:p>
    <w:p>
      <w:pPr>
        <w:pStyle w:val="0"/>
        <w:spacing w:before="200" w:lineRule="auto"/>
        <w:ind w:firstLine="540"/>
        <w:jc w:val="both"/>
      </w:pPr>
      <w:r>
        <w:rPr>
          <w:sz w:val="20"/>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w:t>
      </w:r>
    </w:p>
    <w:p>
      <w:pPr>
        <w:pStyle w:val="0"/>
        <w:spacing w:before="200" w:lineRule="auto"/>
        <w:ind w:firstLine="540"/>
        <w:jc w:val="both"/>
      </w:pPr>
      <w:r>
        <w:rPr>
          <w:sz w:val="20"/>
        </w:rPr>
        <w:t xml:space="preserve">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pStyle w:val="0"/>
        <w:spacing w:before="200" w:lineRule="auto"/>
        <w:ind w:firstLine="540"/>
        <w:jc w:val="both"/>
      </w:pPr>
      <w:r>
        <w:rPr>
          <w:sz w:val="20"/>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и не включенных в представленный ранее комплект документов;</w:t>
      </w:r>
    </w:p>
    <w:p>
      <w:pPr>
        <w:pStyle w:val="0"/>
        <w:spacing w:before="200" w:lineRule="auto"/>
        <w:ind w:firstLine="540"/>
        <w:jc w:val="both"/>
      </w:pPr>
      <w:r>
        <w:rPr>
          <w:sz w:val="20"/>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w:t>
      </w:r>
    </w:p>
    <w:p>
      <w:pPr>
        <w:pStyle w:val="0"/>
        <w:spacing w:before="200" w:lineRule="auto"/>
        <w:ind w:firstLine="540"/>
        <w:jc w:val="both"/>
      </w:pPr>
      <w:r>
        <w:rPr>
          <w:sz w:val="20"/>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организации, предусмотренной </w:t>
      </w:r>
      <w:hyperlink w:history="0" r:id="rId29"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Федерального закона N 210-ФЗ, при первоначальном отказе в приеме документов, необходимых для предоставления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предусмотренной </w:t>
      </w:r>
      <w:hyperlink w:history="0" r:id="rId30"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Федерального закона N 210-ФЗ, уведомляется заявитель, а также приносятся извинения за доставленные неудобства;</w:t>
      </w:r>
    </w:p>
    <w:p>
      <w:pPr>
        <w:pStyle w:val="0"/>
        <w:spacing w:before="200" w:lineRule="auto"/>
        <w:ind w:firstLine="540"/>
        <w:jc w:val="both"/>
      </w:pPr>
      <w:r>
        <w:rPr>
          <w:sz w:val="20"/>
        </w:rPr>
        <w:t xml:space="preserve">5) предоставления на бумажном носителе документов и информации, электронные образы которых ранее были заверены в соответствии с </w:t>
      </w:r>
      <w:hyperlink w:history="0" r:id="rId31"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пунктом 7.2 части 1 статьи 16</w:t>
        </w:r>
      </w:hyperlink>
      <w:r>
        <w:rPr>
          <w:sz w:val="20"/>
        </w:rP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pPr>
        <w:pStyle w:val="0"/>
        <w:spacing w:before="200" w:lineRule="auto"/>
        <w:ind w:firstLine="540"/>
        <w:jc w:val="both"/>
      </w:pPr>
      <w:r>
        <w:rPr>
          <w:sz w:val="20"/>
        </w:rPr>
        <w:t xml:space="preserve">2.5. Срок и порядок регистрации запроса заявителя о предоставлении муниципальной услуги, в том числе в электронной форме.</w:t>
      </w:r>
    </w:p>
    <w:p>
      <w:pPr>
        <w:pStyle w:val="0"/>
        <w:spacing w:before="200" w:lineRule="auto"/>
        <w:ind w:firstLine="540"/>
        <w:jc w:val="both"/>
      </w:pPr>
      <w:r>
        <w:rPr>
          <w:sz w:val="20"/>
        </w:rPr>
        <w:t xml:space="preserve">Регистрация уведомления о планируемом сносе, уведомления о завершении сноса, представленного в Уполномоченный орган способами, указанными в </w:t>
      </w:r>
      <w:hyperlink w:history="0" w:anchor="P107" w:tooltip="2.4.1. Заявитель или его представитель представляет в Уполномоченный орган местного самоуправления уведомление о сносе, уведомление о завершении сноса 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ему документы, указанные в пункте 2.8 настоящего Административного регламента, одним из следующих спос...">
        <w:r>
          <w:rPr>
            <w:sz w:val="20"/>
            <w:color w:val="0000ff"/>
          </w:rPr>
          <w:t xml:space="preserve">пункте 2.4.1</w:t>
        </w:r>
      </w:hyperlink>
      <w:r>
        <w:rPr>
          <w:sz w:val="20"/>
        </w:rPr>
        <w:t xml:space="preserve"> настоящего Административного регламента, осуществляется не позднее одного рабочего дня, следующего за днем его поступления.</w:t>
      </w:r>
    </w:p>
    <w:p>
      <w:pPr>
        <w:pStyle w:val="0"/>
        <w:spacing w:before="200" w:lineRule="auto"/>
        <w:ind w:firstLine="540"/>
        <w:jc w:val="both"/>
      </w:pPr>
      <w:r>
        <w:rPr>
          <w:sz w:val="20"/>
        </w:rPr>
        <w:t xml:space="preserve">В случае направления уведомления об окончании строительства в электронной форме способом, указанным в </w:t>
      </w:r>
      <w:hyperlink w:history="0" w:anchor="P108" w:tooltip="а) в электронной форме посредством федеральной государственной информационной системы &quot;Единый портал государственных и муниципальных услуг (функций)&quot;,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w:r>
          <w:rPr>
            <w:sz w:val="20"/>
            <w:color w:val="0000ff"/>
          </w:rPr>
          <w:t xml:space="preserve">подпункте "а" пункта 2.4.1</w:t>
        </w:r>
      </w:hyperlink>
      <w:r>
        <w:rPr>
          <w:sz w:val="20"/>
        </w:rPr>
        <w:t xml:space="preserve"> настоящего Административного регламента, вне рабочего времени Уполномоченного органа либо в выходной, нерабочий праздничный день днем поступления уведомления о сносе, уведомления о завершении сноса считается первый рабочий день, следующий за днем направления указанного уведомления.</w:t>
      </w:r>
    </w:p>
    <w:p>
      <w:pPr>
        <w:pStyle w:val="0"/>
        <w:spacing w:before="200" w:lineRule="auto"/>
        <w:ind w:firstLine="540"/>
        <w:jc w:val="both"/>
      </w:pPr>
      <w:r>
        <w:rPr>
          <w:sz w:val="20"/>
        </w:rPr>
        <w:t xml:space="preserve">2.6. Срок предоставления муниципальной услуги.</w:t>
      </w:r>
    </w:p>
    <w:p>
      <w:pPr>
        <w:pStyle w:val="0"/>
        <w:spacing w:before="200" w:lineRule="auto"/>
        <w:ind w:firstLine="540"/>
        <w:jc w:val="both"/>
      </w:pPr>
      <w:r>
        <w:rPr>
          <w:sz w:val="20"/>
        </w:rPr>
        <w:t xml:space="preserve">Срок предоставления услуги составляет не более семи рабочих дней со дня поступления уведомления о сносе, уведомления о завершении сноса в Уполномоченный орган.</w:t>
      </w:r>
    </w:p>
    <w:bookmarkStart w:id="153" w:name="P153"/>
    <w:bookmarkEnd w:id="153"/>
    <w:p>
      <w:pPr>
        <w:pStyle w:val="0"/>
        <w:spacing w:before="200" w:lineRule="auto"/>
        <w:ind w:firstLine="540"/>
        <w:jc w:val="both"/>
      </w:pPr>
      <w:r>
        <w:rPr>
          <w:sz w:val="20"/>
        </w:rPr>
        <w:t xml:space="preserve">2.7. Основания для отказа в предоставлении муниципальной услуги:</w:t>
      </w:r>
    </w:p>
    <w:p>
      <w:pPr>
        <w:pStyle w:val="0"/>
        <w:spacing w:before="200" w:lineRule="auto"/>
        <w:ind w:firstLine="540"/>
        <w:jc w:val="both"/>
      </w:pPr>
      <w:r>
        <w:rPr>
          <w:sz w:val="20"/>
        </w:rPr>
        <w:t xml:space="preserve">2.7.1. В случае обращения за услугой "Направление уведомления о планируемом сносе объекта капитального строительства":</w:t>
      </w:r>
    </w:p>
    <w:p>
      <w:pPr>
        <w:pStyle w:val="0"/>
        <w:spacing w:before="200" w:lineRule="auto"/>
        <w:ind w:firstLine="540"/>
        <w:jc w:val="both"/>
      </w:pPr>
      <w:r>
        <w:rPr>
          <w:sz w:val="20"/>
        </w:rPr>
        <w:t xml:space="preserve">1) документы (сведения), представленные заявителем, противоречат документам (сведениям), полученным в рамках межведомственного взаимодействия;</w:t>
      </w:r>
    </w:p>
    <w:p>
      <w:pPr>
        <w:pStyle w:val="0"/>
        <w:spacing w:before="200" w:lineRule="auto"/>
        <w:ind w:firstLine="540"/>
        <w:jc w:val="both"/>
      </w:pPr>
      <w:r>
        <w:rPr>
          <w:sz w:val="20"/>
        </w:rPr>
        <w:t xml:space="preserve">2) отсутствие документов (сведений), предусмотренных нормативными правовыми актами Российской Федерации;</w:t>
      </w:r>
    </w:p>
    <w:p>
      <w:pPr>
        <w:pStyle w:val="0"/>
        <w:spacing w:before="200" w:lineRule="auto"/>
        <w:ind w:firstLine="540"/>
        <w:jc w:val="both"/>
      </w:pPr>
      <w:r>
        <w:rPr>
          <w:sz w:val="20"/>
        </w:rPr>
        <w:t xml:space="preserve">3) заявитель не является правообладателем объекта капитального строительства;</w:t>
      </w:r>
    </w:p>
    <w:p>
      <w:pPr>
        <w:pStyle w:val="0"/>
        <w:spacing w:before="200" w:lineRule="auto"/>
        <w:ind w:firstLine="540"/>
        <w:jc w:val="both"/>
      </w:pPr>
      <w:r>
        <w:rPr>
          <w:sz w:val="20"/>
        </w:rPr>
        <w:t xml:space="preserve">4) уведомление о сносе содержит сведения об объекте, который не является объектом капитального строительства.</w:t>
      </w:r>
    </w:p>
    <w:p>
      <w:pPr>
        <w:pStyle w:val="0"/>
        <w:spacing w:before="200" w:lineRule="auto"/>
        <w:ind w:firstLine="540"/>
        <w:jc w:val="both"/>
      </w:pPr>
      <w:r>
        <w:rPr>
          <w:sz w:val="20"/>
        </w:rPr>
        <w:t xml:space="preserve">2.7.2. В случае обращения за услугой "Направление уведомления о завершении сноса объекта капитального строительства":</w:t>
      </w:r>
    </w:p>
    <w:p>
      <w:pPr>
        <w:pStyle w:val="0"/>
        <w:spacing w:before="200" w:lineRule="auto"/>
        <w:ind w:firstLine="540"/>
        <w:jc w:val="both"/>
      </w:pPr>
      <w:r>
        <w:rPr>
          <w:sz w:val="20"/>
        </w:rPr>
        <w:t xml:space="preserve">1) документы (сведения), представленные заявителем, противоречат документам (сведениям), полученным в рамках межведомственного взаимодействия;</w:t>
      </w:r>
    </w:p>
    <w:p>
      <w:pPr>
        <w:pStyle w:val="0"/>
        <w:spacing w:before="200" w:lineRule="auto"/>
        <w:ind w:firstLine="540"/>
        <w:jc w:val="both"/>
      </w:pPr>
      <w:r>
        <w:rPr>
          <w:sz w:val="20"/>
        </w:rPr>
        <w:t xml:space="preserve">2) отсутствие документов (сведений), предусмотренных нормативными правовыми актами Российской Федерации.</w:t>
      </w:r>
    </w:p>
    <w:p>
      <w:pPr>
        <w:pStyle w:val="0"/>
        <w:spacing w:before="200" w:lineRule="auto"/>
        <w:ind w:firstLine="540"/>
        <w:jc w:val="both"/>
      </w:pPr>
      <w:r>
        <w:rPr>
          <w:sz w:val="20"/>
        </w:rPr>
        <w:t xml:space="preserve">2.7.3. Исчерпывающий перечень оснований для отказа в приеме документов, указанных в </w:t>
      </w:r>
      <w:hyperlink w:history="0" w:anchor="P153" w:tooltip="2.7. Основания для отказа в предоставлении муниципальной услуги:">
        <w:r>
          <w:rPr>
            <w:sz w:val="20"/>
            <w:color w:val="0000ff"/>
          </w:rPr>
          <w:t xml:space="preserve">пункте 2.7</w:t>
        </w:r>
      </w:hyperlink>
      <w:r>
        <w:rPr>
          <w:sz w:val="20"/>
        </w:rPr>
        <w:t xml:space="preserve"> настоящего Административного регламента, в том числе представленных в электронной форме:</w:t>
      </w:r>
    </w:p>
    <w:bookmarkStart w:id="163" w:name="P163"/>
    <w:bookmarkEnd w:id="163"/>
    <w:p>
      <w:pPr>
        <w:pStyle w:val="0"/>
        <w:spacing w:before="200" w:lineRule="auto"/>
        <w:ind w:firstLine="540"/>
        <w:jc w:val="both"/>
      </w:pPr>
      <w:r>
        <w:rPr>
          <w:sz w:val="20"/>
        </w:rPr>
        <w:t xml:space="preserve">а) уведомление о сносе, уведомление о завершении сноса представлено в орган государственной власти, орган местного самоуправления, в полномочия которых не входит предоставление услуги;</w:t>
      </w:r>
    </w:p>
    <w:bookmarkStart w:id="164" w:name="P164"/>
    <w:bookmarkEnd w:id="164"/>
    <w:p>
      <w:pPr>
        <w:pStyle w:val="0"/>
        <w:spacing w:before="200" w:lineRule="auto"/>
        <w:ind w:firstLine="540"/>
        <w:jc w:val="both"/>
      </w:pPr>
      <w:r>
        <w:rPr>
          <w:sz w:val="20"/>
        </w:rPr>
        <w:t xml:space="preserve">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bookmarkStart w:id="165" w:name="P165"/>
    <w:bookmarkEnd w:id="165"/>
    <w:p>
      <w:pPr>
        <w:pStyle w:val="0"/>
        <w:spacing w:before="200" w:lineRule="auto"/>
        <w:ind w:firstLine="540"/>
        <w:jc w:val="both"/>
      </w:pPr>
      <w:r>
        <w:rPr>
          <w:sz w:val="20"/>
        </w:rPr>
        <w:t xml:space="preserve">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bookmarkStart w:id="166" w:name="P166"/>
    <w:bookmarkEnd w:id="166"/>
    <w:p>
      <w:pPr>
        <w:pStyle w:val="0"/>
        <w:spacing w:before="200" w:lineRule="auto"/>
        <w:ind w:firstLine="540"/>
        <w:jc w:val="both"/>
      </w:pPr>
      <w:r>
        <w:rPr>
          <w:sz w:val="20"/>
        </w:rPr>
        <w:t xml:space="preserve">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bookmarkStart w:id="167" w:name="P167"/>
    <w:bookmarkEnd w:id="167"/>
    <w:p>
      <w:pPr>
        <w:pStyle w:val="0"/>
        <w:spacing w:before="200" w:lineRule="auto"/>
        <w:ind w:firstLine="540"/>
        <w:jc w:val="both"/>
      </w:pPr>
      <w:r>
        <w:rPr>
          <w:sz w:val="20"/>
        </w:rPr>
        <w:t xml:space="preserve">д) уведомление о сносе, уведомление о завершении сноса и документы, указанные в </w:t>
      </w:r>
      <w:hyperlink w:history="0" w:anchor="P124" w:tooltip="2.4.5.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пункте 2.4.5</w:t>
        </w:r>
      </w:hyperlink>
      <w:r>
        <w:rPr>
          <w:sz w:val="20"/>
        </w:rPr>
        <w:t xml:space="preserve"> настоящего Административного регламента, представлены в электронной форме с нарушением требований, установленных </w:t>
      </w:r>
      <w:hyperlink w:history="0" w:anchor="P113" w:tooltip="2.4.2. Документы, прилагаемые к уведомлению о сносе, уведомлению о завершении сноса, представляемые в электронной форме, направляются в следующих форматах:">
        <w:r>
          <w:rPr>
            <w:sz w:val="20"/>
            <w:color w:val="0000ff"/>
          </w:rPr>
          <w:t xml:space="preserve">пунктами 2.4.2</w:t>
        </w:r>
      </w:hyperlink>
      <w:r>
        <w:rPr>
          <w:sz w:val="20"/>
        </w:rPr>
        <w:t xml:space="preserve"> - </w:t>
      </w:r>
      <w:hyperlink w:history="0" w:anchor="P122" w:tooltip="2.4.4. Документы, прилагаемые заявителем к уведомлению о сносе, уведомлению о завершении сноса, представляемые в электронной форме, должны обеспечивать возможность идентифицировать документ и количество листов в документе.">
        <w:r>
          <w:rPr>
            <w:sz w:val="20"/>
            <w:color w:val="0000ff"/>
          </w:rPr>
          <w:t xml:space="preserve">2.4.4</w:t>
        </w:r>
      </w:hyperlink>
      <w:r>
        <w:rPr>
          <w:sz w:val="20"/>
        </w:rPr>
        <w:t xml:space="preserve"> настоящего Административного регламента;</w:t>
      </w:r>
    </w:p>
    <w:bookmarkStart w:id="168" w:name="P168"/>
    <w:bookmarkEnd w:id="168"/>
    <w:p>
      <w:pPr>
        <w:pStyle w:val="0"/>
        <w:spacing w:before="200" w:lineRule="auto"/>
        <w:ind w:firstLine="540"/>
        <w:jc w:val="both"/>
      </w:pPr>
      <w:r>
        <w:rPr>
          <w:sz w:val="20"/>
        </w:rPr>
        <w:t xml:space="preserve">е) выявлено несоблюдение установленных </w:t>
      </w:r>
      <w:hyperlink w:history="0" r:id="rId32" w:tooltip="Федеральный закон от 06.04.2011 N 63-ФЗ (ред. от 31.07.2025) &quot;Об электронной подписи&quot; {КонсультантПлюс}">
        <w:r>
          <w:rPr>
            <w:sz w:val="20"/>
            <w:color w:val="0000ff"/>
          </w:rPr>
          <w:t xml:space="preserve">статьей 11</w:t>
        </w:r>
      </w:hyperlink>
      <w:r>
        <w:rPr>
          <w:sz w:val="20"/>
        </w:rPr>
        <w:t xml:space="preserve">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bookmarkStart w:id="169" w:name="P169"/>
    <w:bookmarkEnd w:id="169"/>
    <w:p>
      <w:pPr>
        <w:pStyle w:val="0"/>
        <w:spacing w:before="200" w:lineRule="auto"/>
        <w:ind w:firstLine="540"/>
        <w:jc w:val="both"/>
      </w:pPr>
      <w:r>
        <w:rPr>
          <w:sz w:val="20"/>
        </w:rPr>
        <w:t xml:space="preserve">ж) неполное заполнение полей в форме уведомления, в том числе в интерактивной форме уведомления на ЕПГУ;</w:t>
      </w:r>
    </w:p>
    <w:bookmarkStart w:id="170" w:name="P170"/>
    <w:bookmarkEnd w:id="170"/>
    <w:p>
      <w:pPr>
        <w:pStyle w:val="0"/>
        <w:spacing w:before="200" w:lineRule="auto"/>
        <w:ind w:firstLine="540"/>
        <w:jc w:val="both"/>
      </w:pPr>
      <w:r>
        <w:rPr>
          <w:sz w:val="20"/>
        </w:rPr>
        <w:t xml:space="preserve">з) представление неполного комплекта документов, необходимых для предоставления услуги.</w:t>
      </w:r>
    </w:p>
    <w:p>
      <w:pPr>
        <w:pStyle w:val="0"/>
        <w:spacing w:before="200" w:lineRule="auto"/>
        <w:ind w:firstLine="540"/>
        <w:jc w:val="both"/>
      </w:pPr>
      <w:r>
        <w:rPr>
          <w:sz w:val="20"/>
        </w:rPr>
        <w:t xml:space="preserve">2.7.4. </w:t>
      </w:r>
      <w:hyperlink w:history="0" w:anchor="P336" w:tooltip="РЕШЕНИЕ">
        <w:r>
          <w:rPr>
            <w:sz w:val="20"/>
            <w:color w:val="0000ff"/>
          </w:rPr>
          <w:t xml:space="preserve">Решение</w:t>
        </w:r>
      </w:hyperlink>
      <w:r>
        <w:rPr>
          <w:sz w:val="20"/>
        </w:rPr>
        <w:t xml:space="preserve"> об отказе в приеме документов, указанных в </w:t>
      </w:r>
      <w:hyperlink w:history="0" w:anchor="P124" w:tooltip="2.4.5.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пункте 2.4.5</w:t>
        </w:r>
      </w:hyperlink>
      <w:r>
        <w:rPr>
          <w:sz w:val="20"/>
        </w:rPr>
        <w:t xml:space="preserve"> настоящего Административного регламента, оформляется по форме согласно приложению N 1 к настоящему Административному регламенту.</w:t>
      </w:r>
    </w:p>
    <w:p>
      <w:pPr>
        <w:pStyle w:val="0"/>
        <w:spacing w:before="200" w:lineRule="auto"/>
        <w:ind w:firstLine="540"/>
        <w:jc w:val="both"/>
      </w:pPr>
      <w:r>
        <w:rPr>
          <w:sz w:val="20"/>
        </w:rPr>
        <w:t xml:space="preserve">2.7.5. Решение об отказе в приеме документов, указанных в </w:t>
      </w:r>
      <w:hyperlink w:history="0" w:anchor="P124" w:tooltip="2.4.5.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пункте 2.4.5</w:t>
        </w:r>
      </w:hyperlink>
      <w:r>
        <w:rPr>
          <w:sz w:val="20"/>
        </w:rPr>
        <w:t xml:space="preserve"> настоящего Административного регламента, направляется заявителю способом, определенным заявителем в уведомлении о сносе, уведомлении о завершении сноса, не позднее рабочего дня, следующего за днем получения заявления, либо выдается в день личного обращения за получением указанного решения в многофункциональный центр или Уполномоченный орган.</w:t>
      </w:r>
    </w:p>
    <w:p>
      <w:pPr>
        <w:pStyle w:val="0"/>
        <w:spacing w:before="200" w:lineRule="auto"/>
        <w:ind w:firstLine="540"/>
        <w:jc w:val="both"/>
      </w:pPr>
      <w:r>
        <w:rPr>
          <w:sz w:val="20"/>
        </w:rPr>
        <w:t xml:space="preserve">2.7.6. Отказ в приеме документов, указанных в </w:t>
      </w:r>
      <w:hyperlink w:history="0" w:anchor="P124" w:tooltip="2.4.5.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пункте 2.4.5</w:t>
        </w:r>
      </w:hyperlink>
      <w:r>
        <w:rPr>
          <w:sz w:val="20"/>
        </w:rPr>
        <w:t xml:space="preserve"> настоящего Административного регламента, не препятствует повторному обращению заявителя в Уполномоченный орган за получением услуги.</w:t>
      </w:r>
    </w:p>
    <w:bookmarkStart w:id="174" w:name="P174"/>
    <w:bookmarkEnd w:id="174"/>
    <w:p>
      <w:pPr>
        <w:pStyle w:val="0"/>
        <w:spacing w:before="200" w:lineRule="auto"/>
        <w:ind w:firstLine="540"/>
        <w:jc w:val="both"/>
      </w:pPr>
      <w:r>
        <w:rPr>
          <w:sz w:val="20"/>
        </w:rPr>
        <w:t xml:space="preserve">2.8. Результатом предоставления услуги является:</w:t>
      </w:r>
    </w:p>
    <w:p>
      <w:pPr>
        <w:pStyle w:val="0"/>
        <w:spacing w:before="200" w:lineRule="auto"/>
        <w:ind w:firstLine="540"/>
        <w:jc w:val="both"/>
      </w:pPr>
      <w:r>
        <w:rPr>
          <w:sz w:val="20"/>
        </w:rPr>
        <w:t xml:space="preserve">а) размещение этих уведомления и документов в информационной системе обеспечения градостроительной деятельности.</w:t>
      </w:r>
    </w:p>
    <w:p>
      <w:pPr>
        <w:pStyle w:val="0"/>
        <w:spacing w:before="200" w:lineRule="auto"/>
        <w:ind w:firstLine="540"/>
        <w:jc w:val="both"/>
      </w:pPr>
      <w:r>
        <w:rPr>
          <w:sz w:val="20"/>
        </w:rPr>
        <w:t xml:space="preserve">В случае обращения за услугой "Направление уведомления о планируемом сносе объекта капитального строительства":</w:t>
      </w:r>
    </w:p>
    <w:p>
      <w:pPr>
        <w:pStyle w:val="0"/>
        <w:spacing w:before="200" w:lineRule="auto"/>
        <w:ind w:firstLine="540"/>
        <w:jc w:val="both"/>
      </w:pPr>
      <w:r>
        <w:rPr>
          <w:sz w:val="20"/>
        </w:rPr>
        <w:t xml:space="preserve">1) извещение о приеме уведомления о планируемом сносе объекта капитального строительства;</w:t>
      </w:r>
    </w:p>
    <w:p>
      <w:pPr>
        <w:pStyle w:val="0"/>
        <w:spacing w:before="200" w:lineRule="auto"/>
        <w:ind w:firstLine="540"/>
        <w:jc w:val="both"/>
      </w:pPr>
      <w:r>
        <w:rPr>
          <w:sz w:val="20"/>
        </w:rPr>
        <w:t xml:space="preserve">2) отказ в предоставлении услуги.</w:t>
      </w:r>
    </w:p>
    <w:p>
      <w:pPr>
        <w:pStyle w:val="0"/>
        <w:spacing w:before="200" w:lineRule="auto"/>
        <w:ind w:firstLine="540"/>
        <w:jc w:val="both"/>
      </w:pPr>
      <w:r>
        <w:rPr>
          <w:sz w:val="20"/>
        </w:rPr>
        <w:t xml:space="preserve">В случае обращения за услугой "Направление уведомления о завершении сноса объекта капитального строительства":</w:t>
      </w:r>
    </w:p>
    <w:p>
      <w:pPr>
        <w:pStyle w:val="0"/>
        <w:spacing w:before="200" w:lineRule="auto"/>
        <w:ind w:firstLine="540"/>
        <w:jc w:val="both"/>
      </w:pPr>
      <w:r>
        <w:rPr>
          <w:sz w:val="20"/>
        </w:rPr>
        <w:t xml:space="preserve">1) извещение о приеме уведомления о завершении сноса объекта капитального строительства;</w:t>
      </w:r>
    </w:p>
    <w:p>
      <w:pPr>
        <w:pStyle w:val="0"/>
        <w:spacing w:before="200" w:lineRule="auto"/>
        <w:ind w:firstLine="540"/>
        <w:jc w:val="both"/>
      </w:pPr>
      <w:r>
        <w:rPr>
          <w:sz w:val="20"/>
        </w:rPr>
        <w:t xml:space="preserve">2) отказ в предоставлении услуги.</w:t>
      </w:r>
    </w:p>
    <w:p>
      <w:pPr>
        <w:pStyle w:val="0"/>
        <w:spacing w:before="200" w:lineRule="auto"/>
        <w:ind w:firstLine="540"/>
        <w:jc w:val="both"/>
      </w:pPr>
      <w:r>
        <w:rPr>
          <w:sz w:val="20"/>
        </w:rPr>
        <w:t xml:space="preserve">Формы уведомления о сносе, уведомления о завершении сноса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spacing w:before="200" w:lineRule="auto"/>
        <w:ind w:firstLine="540"/>
        <w:jc w:val="both"/>
      </w:pPr>
      <w:r>
        <w:rPr>
          <w:sz w:val="20"/>
        </w:rPr>
        <w:t xml:space="preserve">2.9. Порядок, размер и основания взимания государственной пошлины или иной оплаты, взимаемой за предоставление муниципальной услуги.</w:t>
      </w:r>
    </w:p>
    <w:p>
      <w:pPr>
        <w:pStyle w:val="0"/>
        <w:spacing w:before="200" w:lineRule="auto"/>
        <w:ind w:firstLine="540"/>
        <w:jc w:val="both"/>
      </w:pPr>
      <w:r>
        <w:rPr>
          <w:sz w:val="20"/>
        </w:rPr>
        <w:t xml:space="preserve">2.9.1. Предоставление услуги осуществляется без взимания платы.</w:t>
      </w:r>
    </w:p>
    <w:p>
      <w:pPr>
        <w:pStyle w:val="0"/>
        <w:spacing w:before="200" w:lineRule="auto"/>
        <w:ind w:firstLine="540"/>
        <w:jc w:val="both"/>
      </w:pPr>
      <w:r>
        <w:rPr>
          <w:sz w:val="20"/>
        </w:rPr>
        <w:t xml:space="preserve">2.9.2. Сведения о ходе рассмотрения уведомления о сносе, уведомления о завершении сноса, направленного способом, указанным в </w:t>
      </w:r>
      <w:hyperlink w:history="0" w:anchor="P108" w:tooltip="а) в электронной форме посредством федеральной государственной информационной системы &quot;Единый портал государственных и муниципальных услуг (функций)&quot;,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w:r>
          <w:rPr>
            <w:sz w:val="20"/>
            <w:color w:val="0000ff"/>
          </w:rPr>
          <w:t xml:space="preserve">подпункте "а" пункта 2.4.1</w:t>
        </w:r>
      </w:hyperlink>
      <w:r>
        <w:rPr>
          <w:sz w:val="20"/>
        </w:rPr>
        <w:t xml:space="preserve"> настоящего Административного регламента, доводятся до заявителя путем уведомления об изменении статуса уведомления в личном кабинете заявителя на Едином портале, Региональном портале.</w:t>
      </w:r>
    </w:p>
    <w:p>
      <w:pPr>
        <w:pStyle w:val="0"/>
        <w:spacing w:before="200" w:lineRule="auto"/>
        <w:ind w:firstLine="540"/>
        <w:jc w:val="both"/>
      </w:pPr>
      <w:r>
        <w:rPr>
          <w:sz w:val="20"/>
        </w:rPr>
        <w:t xml:space="preserve">Сведения о ходе рассмотрения уведомления о сносе, уведомления о завершении сноса, направленного способом, указанным в </w:t>
      </w:r>
      <w:hyperlink w:history="0" w:anchor="P111" w:tooltip="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 сентября 2011 года N 797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
        <w:r>
          <w:rPr>
            <w:sz w:val="20"/>
            <w:color w:val="0000ff"/>
          </w:rPr>
          <w:t xml:space="preserve">подпункте "б" пункта 2.4.1</w:t>
        </w:r>
      </w:hyperlink>
      <w:r>
        <w:rPr>
          <w:sz w:val="20"/>
        </w:rPr>
        <w:t xml:space="preserve">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pPr>
        <w:pStyle w:val="0"/>
        <w:spacing w:before="200" w:lineRule="auto"/>
        <w:ind w:firstLine="540"/>
        <w:jc w:val="both"/>
      </w:pPr>
      <w:r>
        <w:rPr>
          <w:sz w:val="20"/>
        </w:rPr>
        <w:t xml:space="preserve">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pPr>
        <w:pStyle w:val="0"/>
        <w:spacing w:before="200" w:lineRule="auto"/>
        <w:ind w:firstLine="540"/>
        <w:jc w:val="both"/>
      </w:pPr>
      <w:r>
        <w:rPr>
          <w:sz w:val="20"/>
        </w:rPr>
        <w:t xml:space="preserve">б) в электронной форме посредством электронной почты.</w:t>
      </w:r>
    </w:p>
    <w:p>
      <w:pPr>
        <w:pStyle w:val="0"/>
        <w:spacing w:before="200" w:lineRule="auto"/>
        <w:ind w:firstLine="540"/>
        <w:jc w:val="both"/>
      </w:pPr>
      <w:r>
        <w:rPr>
          <w:sz w:val="20"/>
        </w:rPr>
        <w:t xml:space="preserve">На основании запроса сведения о ходе рассмотрения уведомления о сносе, уведомления о завершении сноса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pPr>
        <w:pStyle w:val="0"/>
        <w:spacing w:before="200" w:lineRule="auto"/>
        <w:ind w:firstLine="540"/>
        <w:jc w:val="both"/>
      </w:pPr>
      <w:r>
        <w:rPr>
          <w:sz w:val="20"/>
        </w:rPr>
        <w:t xml:space="preserve">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pPr>
        <w:pStyle w:val="0"/>
        <w:spacing w:before="200" w:lineRule="auto"/>
        <w:ind w:firstLine="540"/>
        <w:jc w:val="both"/>
      </w:pPr>
      <w:r>
        <w:rPr>
          <w:sz w:val="20"/>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pPr>
        <w:pStyle w:val="0"/>
        <w:spacing w:before="200" w:lineRule="auto"/>
        <w:ind w:firstLine="540"/>
        <w:jc w:val="both"/>
      </w:pPr>
      <w:r>
        <w:rPr>
          <w:sz w:val="20"/>
        </w:rPr>
        <w:t xml:space="preserve">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pPr>
        <w:pStyle w:val="0"/>
        <w:spacing w:before="200" w:lineRule="auto"/>
        <w:ind w:firstLine="540"/>
        <w:jc w:val="both"/>
      </w:pPr>
      <w:r>
        <w:rPr>
          <w:sz w:val="20"/>
        </w:rPr>
        <w:t xml:space="preserve">Услуги, необходимые и обязательные для предоставления муниципальной услуги, отсутствуют.</w:t>
      </w:r>
    </w:p>
    <w:p>
      <w:pPr>
        <w:pStyle w:val="0"/>
        <w:spacing w:before="200" w:lineRule="auto"/>
        <w:ind w:firstLine="540"/>
        <w:jc w:val="both"/>
      </w:pPr>
      <w:r>
        <w:rPr>
          <w:sz w:val="20"/>
        </w:rPr>
        <w:t xml:space="preserve">2.12. Требования к помещениям, в которых предоставляется муниципальная услуга.</w:t>
      </w:r>
    </w:p>
    <w:p>
      <w:pPr>
        <w:pStyle w:val="0"/>
        <w:spacing w:before="200" w:lineRule="auto"/>
        <w:ind w:firstLine="540"/>
        <w:jc w:val="both"/>
      </w:pPr>
      <w:r>
        <w:rPr>
          <w:sz w:val="20"/>
        </w:rPr>
        <w:t xml:space="preserve">Местоположение административных зданий, в которых осуществляется прием уведомлений о сносе, уведомлений о завершении сноса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pPr>
        <w:pStyle w:val="0"/>
        <w:spacing w:before="200" w:lineRule="auto"/>
        <w:ind w:firstLine="540"/>
        <w:jc w:val="both"/>
      </w:pPr>
      <w:r>
        <w:rPr>
          <w:sz w:val="20"/>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pPr>
        <w:pStyle w:val="0"/>
        <w:spacing w:before="200" w:lineRule="auto"/>
        <w:ind w:firstLine="540"/>
        <w:jc w:val="both"/>
      </w:pPr>
      <w:r>
        <w:rPr>
          <w:sz w:val="20"/>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pPr>
        <w:pStyle w:val="0"/>
        <w:spacing w:before="200" w:lineRule="auto"/>
        <w:ind w:firstLine="540"/>
        <w:jc w:val="both"/>
      </w:pPr>
      <w:r>
        <w:rPr>
          <w:sz w:val="20"/>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pPr>
        <w:pStyle w:val="0"/>
        <w:spacing w:before="200" w:lineRule="auto"/>
        <w:ind w:firstLine="540"/>
        <w:jc w:val="both"/>
      </w:pPr>
      <w:r>
        <w:rPr>
          <w:sz w:val="20"/>
        </w:rPr>
        <w:t xml:space="preserve">Центральный вход в здание Уполномоченного органа должен быть оборудован информационной табличкой (вывеской), содержащей информацию:</w:t>
      </w:r>
    </w:p>
    <w:p>
      <w:pPr>
        <w:pStyle w:val="0"/>
        <w:spacing w:before="200" w:lineRule="auto"/>
        <w:ind w:firstLine="540"/>
        <w:jc w:val="both"/>
      </w:pPr>
      <w:r>
        <w:rPr>
          <w:sz w:val="20"/>
        </w:rPr>
        <w:t xml:space="preserve">наименование;</w:t>
      </w:r>
    </w:p>
    <w:p>
      <w:pPr>
        <w:pStyle w:val="0"/>
        <w:spacing w:before="200" w:lineRule="auto"/>
        <w:ind w:firstLine="540"/>
        <w:jc w:val="both"/>
      </w:pPr>
      <w:r>
        <w:rPr>
          <w:sz w:val="20"/>
        </w:rPr>
        <w:t xml:space="preserve">местонахождение и юридический адрес;</w:t>
      </w:r>
    </w:p>
    <w:p>
      <w:pPr>
        <w:pStyle w:val="0"/>
        <w:spacing w:before="200" w:lineRule="auto"/>
        <w:ind w:firstLine="540"/>
        <w:jc w:val="both"/>
      </w:pPr>
      <w:r>
        <w:rPr>
          <w:sz w:val="20"/>
        </w:rPr>
        <w:t xml:space="preserve">режим работы;</w:t>
      </w:r>
    </w:p>
    <w:p>
      <w:pPr>
        <w:pStyle w:val="0"/>
        <w:spacing w:before="200" w:lineRule="auto"/>
        <w:ind w:firstLine="540"/>
        <w:jc w:val="both"/>
      </w:pPr>
      <w:r>
        <w:rPr>
          <w:sz w:val="20"/>
        </w:rPr>
        <w:t xml:space="preserve">график приема;</w:t>
      </w:r>
    </w:p>
    <w:p>
      <w:pPr>
        <w:pStyle w:val="0"/>
        <w:spacing w:before="200" w:lineRule="auto"/>
        <w:ind w:firstLine="540"/>
        <w:jc w:val="both"/>
      </w:pPr>
      <w:r>
        <w:rPr>
          <w:sz w:val="20"/>
        </w:rPr>
        <w:t xml:space="preserve">номера телефонов для справок.</w:t>
      </w:r>
    </w:p>
    <w:p>
      <w:pPr>
        <w:pStyle w:val="0"/>
        <w:spacing w:before="200" w:lineRule="auto"/>
        <w:ind w:firstLine="540"/>
        <w:jc w:val="both"/>
      </w:pPr>
      <w:r>
        <w:rPr>
          <w:sz w:val="20"/>
        </w:rPr>
        <w:t xml:space="preserve">Помещения, в которых предоставляется муниципальная услуга, должны соответствовать санитарно-эпидемиологическим правилам и нормативам.</w:t>
      </w:r>
    </w:p>
    <w:p>
      <w:pPr>
        <w:pStyle w:val="0"/>
        <w:spacing w:before="200" w:lineRule="auto"/>
        <w:ind w:firstLine="540"/>
        <w:jc w:val="both"/>
      </w:pPr>
      <w:r>
        <w:rPr>
          <w:sz w:val="20"/>
        </w:rPr>
        <w:t xml:space="preserve">Помещения, в которых предоставляется муниципальная услуга, оснащаются:</w:t>
      </w:r>
    </w:p>
    <w:p>
      <w:pPr>
        <w:pStyle w:val="0"/>
        <w:spacing w:before="200" w:lineRule="auto"/>
        <w:ind w:firstLine="540"/>
        <w:jc w:val="both"/>
      </w:pPr>
      <w:r>
        <w:rPr>
          <w:sz w:val="20"/>
        </w:rPr>
        <w:t xml:space="preserve">противопожарной системой и средствами пожаротушения;</w:t>
      </w:r>
    </w:p>
    <w:p>
      <w:pPr>
        <w:pStyle w:val="0"/>
        <w:spacing w:before="200" w:lineRule="auto"/>
        <w:ind w:firstLine="540"/>
        <w:jc w:val="both"/>
      </w:pPr>
      <w:r>
        <w:rPr>
          <w:sz w:val="20"/>
        </w:rPr>
        <w:t xml:space="preserve">системой оповещения о возникновении чрезвычайной ситуации;</w:t>
      </w:r>
    </w:p>
    <w:p>
      <w:pPr>
        <w:pStyle w:val="0"/>
        <w:spacing w:before="200" w:lineRule="auto"/>
        <w:ind w:firstLine="540"/>
        <w:jc w:val="both"/>
      </w:pPr>
      <w:r>
        <w:rPr>
          <w:sz w:val="20"/>
        </w:rPr>
        <w:t xml:space="preserve">средствами оказания первой медицинской помощи;</w:t>
      </w:r>
    </w:p>
    <w:p>
      <w:pPr>
        <w:pStyle w:val="0"/>
        <w:spacing w:before="200" w:lineRule="auto"/>
        <w:ind w:firstLine="540"/>
        <w:jc w:val="both"/>
      </w:pPr>
      <w:r>
        <w:rPr>
          <w:sz w:val="20"/>
        </w:rPr>
        <w:t xml:space="preserve">туалетными комнатами для посетителей.</w:t>
      </w:r>
    </w:p>
    <w:p>
      <w:pPr>
        <w:pStyle w:val="0"/>
        <w:spacing w:before="200" w:lineRule="auto"/>
        <w:ind w:firstLine="540"/>
        <w:jc w:val="both"/>
      </w:pPr>
      <w:r>
        <w:rPr>
          <w:sz w:val="20"/>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pPr>
        <w:pStyle w:val="0"/>
        <w:spacing w:before="200" w:lineRule="auto"/>
        <w:ind w:firstLine="540"/>
        <w:jc w:val="both"/>
      </w:pPr>
      <w:r>
        <w:rPr>
          <w:sz w:val="20"/>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pPr>
        <w:pStyle w:val="0"/>
        <w:spacing w:before="200" w:lineRule="auto"/>
        <w:ind w:firstLine="540"/>
        <w:jc w:val="both"/>
      </w:pPr>
      <w:r>
        <w:rPr>
          <w:sz w:val="20"/>
        </w:rPr>
        <w:t xml:space="preserve">Места для заполнения заявлений оборудуются стульями, столами (стойками), бланками заявлений, письменными принадлежностями.</w:t>
      </w:r>
    </w:p>
    <w:p>
      <w:pPr>
        <w:pStyle w:val="0"/>
        <w:spacing w:before="200" w:lineRule="auto"/>
        <w:ind w:firstLine="540"/>
        <w:jc w:val="both"/>
      </w:pPr>
      <w:r>
        <w:rPr>
          <w:sz w:val="20"/>
        </w:rPr>
        <w:t xml:space="preserve">Места приема заявителей оборудуются информационными табличками (вывесками) с указанием:</w:t>
      </w:r>
    </w:p>
    <w:p>
      <w:pPr>
        <w:pStyle w:val="0"/>
        <w:spacing w:before="200" w:lineRule="auto"/>
        <w:ind w:firstLine="540"/>
        <w:jc w:val="both"/>
      </w:pPr>
      <w:r>
        <w:rPr>
          <w:sz w:val="20"/>
        </w:rPr>
        <w:t xml:space="preserve">номера кабинета и наименования отдела;</w:t>
      </w:r>
    </w:p>
    <w:p>
      <w:pPr>
        <w:pStyle w:val="0"/>
        <w:spacing w:before="200" w:lineRule="auto"/>
        <w:ind w:firstLine="540"/>
        <w:jc w:val="both"/>
      </w:pPr>
      <w:r>
        <w:rPr>
          <w:sz w:val="20"/>
        </w:rPr>
        <w:t xml:space="preserve">фамилии, имени и отчества (последнее - при наличии), должности ответственного лица за прием документов;</w:t>
      </w:r>
    </w:p>
    <w:p>
      <w:pPr>
        <w:pStyle w:val="0"/>
        <w:spacing w:before="200" w:lineRule="auto"/>
        <w:ind w:firstLine="540"/>
        <w:jc w:val="both"/>
      </w:pPr>
      <w:r>
        <w:rPr>
          <w:sz w:val="20"/>
        </w:rPr>
        <w:t xml:space="preserve">графика приема заявителей.</w:t>
      </w:r>
    </w:p>
    <w:p>
      <w:pPr>
        <w:pStyle w:val="0"/>
        <w:spacing w:before="200" w:lineRule="auto"/>
        <w:ind w:firstLine="540"/>
        <w:jc w:val="both"/>
      </w:pPr>
      <w:r>
        <w:rPr>
          <w:sz w:val="20"/>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pPr>
        <w:pStyle w:val="0"/>
        <w:spacing w:before="200" w:lineRule="auto"/>
        <w:ind w:firstLine="540"/>
        <w:jc w:val="both"/>
      </w:pPr>
      <w:r>
        <w:rPr>
          <w:sz w:val="20"/>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w:t>
      </w:r>
    </w:p>
    <w:p>
      <w:pPr>
        <w:pStyle w:val="0"/>
        <w:spacing w:before="200" w:lineRule="auto"/>
        <w:ind w:firstLine="540"/>
        <w:jc w:val="both"/>
      </w:pPr>
      <w:r>
        <w:rPr>
          <w:sz w:val="20"/>
        </w:rPr>
        <w:t xml:space="preserve">При предоставлении муниципальной услуги инвалидам обеспечиваются:</w:t>
      </w:r>
    </w:p>
    <w:p>
      <w:pPr>
        <w:pStyle w:val="0"/>
        <w:spacing w:before="200" w:lineRule="auto"/>
        <w:ind w:firstLine="540"/>
        <w:jc w:val="both"/>
      </w:pPr>
      <w:r>
        <w:rPr>
          <w:sz w:val="20"/>
        </w:rPr>
        <w:t xml:space="preserve">возможность беспрепятственного доступа к объекту (зданию, помещению), в котором предоставляется муниципальная услуга;</w:t>
      </w:r>
    </w:p>
    <w:p>
      <w:pPr>
        <w:pStyle w:val="0"/>
        <w:spacing w:before="200" w:lineRule="auto"/>
        <w:ind w:firstLine="540"/>
        <w:jc w:val="both"/>
      </w:pPr>
      <w:r>
        <w:rPr>
          <w:sz w:val="20"/>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pPr>
        <w:pStyle w:val="0"/>
        <w:spacing w:before="200" w:lineRule="auto"/>
        <w:ind w:firstLine="540"/>
        <w:jc w:val="both"/>
      </w:pPr>
      <w:r>
        <w:rPr>
          <w:sz w:val="20"/>
        </w:rPr>
        <w:t xml:space="preserve">сопровождение инвалидов, имеющих стойкие расстройства функции зрения и самостоятельного передвижения;</w:t>
      </w:r>
    </w:p>
    <w:p>
      <w:pPr>
        <w:pStyle w:val="0"/>
        <w:spacing w:before="200" w:lineRule="auto"/>
        <w:ind w:firstLine="540"/>
        <w:jc w:val="both"/>
      </w:pPr>
      <w:r>
        <w:rPr>
          <w:sz w:val="20"/>
        </w:rPr>
        <w:t xml:space="preserve">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pPr>
        <w:pStyle w:val="0"/>
        <w:spacing w:before="200" w:lineRule="auto"/>
        <w:ind w:firstLine="540"/>
        <w:jc w:val="both"/>
      </w:pPr>
      <w:r>
        <w:rPr>
          <w:sz w:val="20"/>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0"/>
        <w:spacing w:before="200" w:lineRule="auto"/>
        <w:ind w:firstLine="540"/>
        <w:jc w:val="both"/>
      </w:pPr>
      <w:r>
        <w:rPr>
          <w:sz w:val="20"/>
        </w:rPr>
        <w:t xml:space="preserve">допуск сурдопереводчика и тифлосурдопереводчика;</w:t>
      </w:r>
    </w:p>
    <w:p>
      <w:pPr>
        <w:pStyle w:val="0"/>
        <w:spacing w:before="200" w:lineRule="auto"/>
        <w:ind w:firstLine="540"/>
        <w:jc w:val="both"/>
      </w:pPr>
      <w:r>
        <w:rPr>
          <w:sz w:val="20"/>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pPr>
        <w:pStyle w:val="0"/>
        <w:spacing w:before="200" w:lineRule="auto"/>
        <w:ind w:firstLine="540"/>
        <w:jc w:val="both"/>
      </w:pPr>
      <w:r>
        <w:rPr>
          <w:sz w:val="20"/>
        </w:rPr>
        <w:t xml:space="preserve">оказание инвалидам помощи в преодолении барьеров, мешающих получению ими государственных и муниципальных услуг наравне с другими лицами.</w:t>
      </w:r>
    </w:p>
    <w:p>
      <w:pPr>
        <w:pStyle w:val="0"/>
        <w:spacing w:before="200" w:lineRule="auto"/>
        <w:ind w:firstLine="540"/>
        <w:jc w:val="both"/>
      </w:pPr>
      <w:r>
        <w:rPr>
          <w:sz w:val="20"/>
        </w:rPr>
        <w:t xml:space="preserve">2.13. Показатели доступности и качества муниципальной услуги.</w:t>
      </w:r>
    </w:p>
    <w:p>
      <w:pPr>
        <w:pStyle w:val="0"/>
        <w:spacing w:before="200" w:lineRule="auto"/>
        <w:ind w:firstLine="540"/>
        <w:jc w:val="both"/>
      </w:pPr>
      <w:r>
        <w:rPr>
          <w:sz w:val="20"/>
        </w:rPr>
        <w:t xml:space="preserve">2.13.1. Основными показателями доступности предоставления муниципальной услуги являются:</w:t>
      </w:r>
    </w:p>
    <w:p>
      <w:pPr>
        <w:pStyle w:val="0"/>
        <w:spacing w:before="200" w:lineRule="auto"/>
        <w:ind w:firstLine="540"/>
        <w:jc w:val="both"/>
      </w:pPr>
      <w:r>
        <w:rPr>
          <w:sz w:val="20"/>
        </w:rPr>
        <w:t xml:space="preserve">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pPr>
        <w:pStyle w:val="0"/>
        <w:spacing w:before="200" w:lineRule="auto"/>
        <w:ind w:firstLine="540"/>
        <w:jc w:val="both"/>
      </w:pPr>
      <w:r>
        <w:rPr>
          <w:sz w:val="20"/>
        </w:rPr>
        <w:t xml:space="preserve">возможность получения заявителем уведомлений о предоставлении муниципальной услуги с помощью ЕПГУ, Регионального портала;</w:t>
      </w:r>
    </w:p>
    <w:p>
      <w:pPr>
        <w:pStyle w:val="0"/>
        <w:spacing w:before="200" w:lineRule="auto"/>
        <w:ind w:firstLine="540"/>
        <w:jc w:val="both"/>
      </w:pPr>
      <w:r>
        <w:rPr>
          <w:sz w:val="20"/>
        </w:rPr>
        <w:t xml:space="preserve">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pStyle w:val="0"/>
        <w:spacing w:before="200" w:lineRule="auto"/>
        <w:ind w:firstLine="540"/>
        <w:jc w:val="both"/>
      </w:pPr>
      <w:r>
        <w:rPr>
          <w:sz w:val="20"/>
        </w:rPr>
        <w:t xml:space="preserve">2.13.2. Основными показателями качества предоставления муниципальной услуги являются:</w:t>
      </w:r>
    </w:p>
    <w:p>
      <w:pPr>
        <w:pStyle w:val="0"/>
        <w:spacing w:before="200" w:lineRule="auto"/>
        <w:ind w:firstLine="540"/>
        <w:jc w:val="both"/>
      </w:pPr>
      <w:r>
        <w:rPr>
          <w:sz w:val="20"/>
        </w:rPr>
        <w:t xml:space="preserve">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pPr>
        <w:pStyle w:val="0"/>
        <w:spacing w:before="200" w:lineRule="auto"/>
        <w:ind w:firstLine="540"/>
        <w:jc w:val="both"/>
      </w:pPr>
      <w:r>
        <w:rPr>
          <w:sz w:val="20"/>
        </w:rPr>
        <w:t xml:space="preserve">минимально возможное количество взаимодействий гражданина с должностными лицами, участвующими в предоставлении муниципальной услуги;</w:t>
      </w:r>
    </w:p>
    <w:p>
      <w:pPr>
        <w:pStyle w:val="0"/>
        <w:spacing w:before="200" w:lineRule="auto"/>
        <w:ind w:firstLine="540"/>
        <w:jc w:val="both"/>
      </w:pPr>
      <w:r>
        <w:rPr>
          <w:sz w:val="20"/>
        </w:rPr>
        <w:t xml:space="preserve">отсутствие обоснованных жалоб на действия (бездействие) сотрудников и их некорректное (невнимательное) отношение к заявителям;</w:t>
      </w:r>
    </w:p>
    <w:p>
      <w:pPr>
        <w:pStyle w:val="0"/>
        <w:spacing w:before="200" w:lineRule="auto"/>
        <w:ind w:firstLine="540"/>
        <w:jc w:val="both"/>
      </w:pPr>
      <w:r>
        <w:rPr>
          <w:sz w:val="20"/>
        </w:rPr>
        <w:t xml:space="preserve">отсутствие нарушений установленных сроков в процессе предоставления муниципальной услуги;</w:t>
      </w:r>
    </w:p>
    <w:p>
      <w:pPr>
        <w:pStyle w:val="0"/>
        <w:spacing w:before="200" w:lineRule="auto"/>
        <w:ind w:firstLine="540"/>
        <w:jc w:val="both"/>
      </w:pPr>
      <w:r>
        <w:rPr>
          <w:sz w:val="20"/>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pPr>
        <w:pStyle w:val="2"/>
        <w:spacing w:before="200" w:lineRule="auto"/>
        <w:outlineLvl w:val="1"/>
        <w:ind w:firstLine="540"/>
        <w:jc w:val="both"/>
      </w:pPr>
      <w:r>
        <w:rPr>
          <w:sz w:val="20"/>
        </w:rPr>
        <w:t xml:space="preserve">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pPr>
        <w:pStyle w:val="2"/>
        <w:spacing w:before="200" w:lineRule="auto"/>
        <w:outlineLvl w:val="2"/>
        <w:ind w:firstLine="540"/>
        <w:jc w:val="both"/>
      </w:pPr>
      <w:r>
        <w:rPr>
          <w:sz w:val="20"/>
        </w:rPr>
        <w:t xml:space="preserve">3.1. Исчерпывающий перечень административных процедур.</w:t>
      </w:r>
    </w:p>
    <w:p>
      <w:pPr>
        <w:pStyle w:val="0"/>
        <w:spacing w:before="200" w:lineRule="auto"/>
        <w:ind w:firstLine="540"/>
        <w:jc w:val="both"/>
      </w:pPr>
      <w:r>
        <w:rPr>
          <w:sz w:val="20"/>
        </w:rPr>
        <w:t xml:space="preserve">Предоставление муниципальной услуги включает в себя следующие административные процедуры:</w:t>
      </w:r>
    </w:p>
    <w:p>
      <w:pPr>
        <w:pStyle w:val="0"/>
        <w:spacing w:before="200" w:lineRule="auto"/>
        <w:ind w:firstLine="540"/>
        <w:jc w:val="both"/>
      </w:pPr>
      <w:r>
        <w:rPr>
          <w:sz w:val="20"/>
        </w:rPr>
        <w:t xml:space="preserve">прием, проверка документов и регистрация уведомления о планируемом сносе, уведомления о завершении сноса;</w:t>
      </w:r>
    </w:p>
    <w:p>
      <w:pPr>
        <w:pStyle w:val="0"/>
        <w:spacing w:before="200" w:lineRule="auto"/>
        <w:ind w:firstLine="540"/>
        <w:jc w:val="both"/>
      </w:pPr>
      <w:r>
        <w:rPr>
          <w:sz w:val="20"/>
        </w:rPr>
        <w:t xml:space="preserve">получение сведений посредством межведомственного информационного взаимодействия, в т.ч.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pPr>
        <w:pStyle w:val="0"/>
        <w:spacing w:before="200" w:lineRule="auto"/>
        <w:ind w:firstLine="540"/>
        <w:jc w:val="both"/>
      </w:pPr>
      <w:r>
        <w:rPr>
          <w:sz w:val="20"/>
        </w:rPr>
        <w:t xml:space="preserve">рассмотрение документов и сведений;</w:t>
      </w:r>
    </w:p>
    <w:p>
      <w:pPr>
        <w:pStyle w:val="0"/>
        <w:spacing w:before="200" w:lineRule="auto"/>
        <w:ind w:firstLine="540"/>
        <w:jc w:val="both"/>
      </w:pPr>
      <w:r>
        <w:rPr>
          <w:sz w:val="20"/>
        </w:rPr>
        <w:t xml:space="preserve">принятие решения;</w:t>
      </w:r>
    </w:p>
    <w:p>
      <w:pPr>
        <w:pStyle w:val="0"/>
        <w:spacing w:before="200" w:lineRule="auto"/>
        <w:ind w:firstLine="540"/>
        <w:jc w:val="both"/>
      </w:pPr>
      <w:r>
        <w:rPr>
          <w:sz w:val="20"/>
        </w:rPr>
        <w:t xml:space="preserve">выдача результата;</w:t>
      </w:r>
    </w:p>
    <w:p>
      <w:pPr>
        <w:pStyle w:val="0"/>
        <w:spacing w:before="200" w:lineRule="auto"/>
        <w:ind w:firstLine="540"/>
        <w:jc w:val="both"/>
      </w:pPr>
      <w:r>
        <w:rPr>
          <w:sz w:val="20"/>
        </w:rPr>
        <w:t xml:space="preserve">внесение результата муниципальной услуги в реестр юридически значимых записей.</w:t>
      </w:r>
    </w:p>
    <w:p>
      <w:pPr>
        <w:pStyle w:val="2"/>
        <w:spacing w:before="200" w:lineRule="auto"/>
        <w:outlineLvl w:val="2"/>
        <w:ind w:firstLine="540"/>
        <w:jc w:val="both"/>
      </w:pPr>
      <w:r>
        <w:rPr>
          <w:sz w:val="20"/>
        </w:rPr>
        <w:t xml:space="preserve">3.2. Перечень административных процедур (действий) при предоставлении муниципальной услуги в электронной форме.</w:t>
      </w:r>
    </w:p>
    <w:p>
      <w:pPr>
        <w:pStyle w:val="0"/>
        <w:spacing w:before="200" w:lineRule="auto"/>
        <w:ind w:firstLine="540"/>
        <w:jc w:val="both"/>
      </w:pPr>
      <w:r>
        <w:rPr>
          <w:sz w:val="20"/>
        </w:rPr>
        <w:t xml:space="preserve">При предоставлении муниципальной услуги в электронной форме заявителю обеспечиваются:</w:t>
      </w:r>
    </w:p>
    <w:p>
      <w:pPr>
        <w:pStyle w:val="0"/>
        <w:spacing w:before="200" w:lineRule="auto"/>
        <w:ind w:firstLine="540"/>
        <w:jc w:val="both"/>
      </w:pPr>
      <w:r>
        <w:rPr>
          <w:sz w:val="20"/>
        </w:rPr>
        <w:t xml:space="preserve">получение информации о порядке и сроках предоставления муниципальной услуги;</w:t>
      </w:r>
    </w:p>
    <w:p>
      <w:pPr>
        <w:pStyle w:val="0"/>
        <w:spacing w:before="200" w:lineRule="auto"/>
        <w:ind w:firstLine="540"/>
        <w:jc w:val="both"/>
      </w:pPr>
      <w:r>
        <w:rPr>
          <w:sz w:val="20"/>
        </w:rPr>
        <w:t xml:space="preserve">формирование уведомления о сносе, уведомления о завершении сноса;</w:t>
      </w:r>
    </w:p>
    <w:p>
      <w:pPr>
        <w:pStyle w:val="0"/>
        <w:spacing w:before="200" w:lineRule="auto"/>
        <w:ind w:firstLine="540"/>
        <w:jc w:val="both"/>
      </w:pPr>
      <w:r>
        <w:rPr>
          <w:sz w:val="20"/>
        </w:rPr>
        <w:t xml:space="preserve">прием и регистрация Уполномоченным органом уведомления о сносе, уведомления о завершении сноса и иных документов, необходимых для предоставления муниципальной услуги;</w:t>
      </w:r>
    </w:p>
    <w:p>
      <w:pPr>
        <w:pStyle w:val="0"/>
        <w:spacing w:before="200" w:lineRule="auto"/>
        <w:ind w:firstLine="540"/>
        <w:jc w:val="both"/>
      </w:pPr>
      <w:r>
        <w:rPr>
          <w:sz w:val="20"/>
        </w:rPr>
        <w:t xml:space="preserve">получение результата предоставления муниципальной услуги;</w:t>
      </w:r>
    </w:p>
    <w:p>
      <w:pPr>
        <w:pStyle w:val="0"/>
        <w:spacing w:before="200" w:lineRule="auto"/>
        <w:ind w:firstLine="540"/>
        <w:jc w:val="both"/>
      </w:pPr>
      <w:r>
        <w:rPr>
          <w:sz w:val="20"/>
        </w:rPr>
        <w:t xml:space="preserve">получение сведений о ходе рассмотрения уведомления о сносе, уведомления о завершении сноса;</w:t>
      </w:r>
    </w:p>
    <w:p>
      <w:pPr>
        <w:pStyle w:val="0"/>
        <w:spacing w:before="200" w:lineRule="auto"/>
        <w:ind w:firstLine="540"/>
        <w:jc w:val="both"/>
      </w:pPr>
      <w:r>
        <w:rPr>
          <w:sz w:val="20"/>
        </w:rPr>
        <w:t xml:space="preserve">осуществление оценки качества предоставления муниципальной услуги;</w:t>
      </w:r>
    </w:p>
    <w:p>
      <w:pPr>
        <w:pStyle w:val="0"/>
        <w:spacing w:before="200" w:lineRule="auto"/>
        <w:ind w:firstLine="540"/>
        <w:jc w:val="both"/>
      </w:pPr>
      <w:r>
        <w:rPr>
          <w:sz w:val="20"/>
        </w:rPr>
        <w:t xml:space="preserve">досудебное (внесудебное) обжалование решений и действий (бездействия) Уполномоченного органа либо действий (бездействия) должностных лиц Уполномоченного органа, предоставляющего муниципальную услугу, либо муниципального служащего.</w:t>
      </w:r>
    </w:p>
    <w:p>
      <w:pPr>
        <w:pStyle w:val="2"/>
        <w:spacing w:before="200" w:lineRule="auto"/>
        <w:outlineLvl w:val="2"/>
        <w:ind w:firstLine="540"/>
        <w:jc w:val="both"/>
      </w:pPr>
      <w:r>
        <w:rPr>
          <w:sz w:val="20"/>
        </w:rPr>
        <w:t xml:space="preserve">3.3. Порядок осуществления административных процедур (действий) в электронной форме.</w:t>
      </w:r>
    </w:p>
    <w:p>
      <w:pPr>
        <w:pStyle w:val="0"/>
        <w:spacing w:before="200" w:lineRule="auto"/>
        <w:ind w:firstLine="540"/>
        <w:jc w:val="both"/>
      </w:pPr>
      <w:r>
        <w:rPr>
          <w:sz w:val="20"/>
        </w:rPr>
        <w:t xml:space="preserve">3.3.1. Формирование уведомления о планируемом сносе, уведомления о завершении сноса.</w:t>
      </w:r>
    </w:p>
    <w:p>
      <w:pPr>
        <w:pStyle w:val="0"/>
        <w:spacing w:before="200" w:lineRule="auto"/>
        <w:ind w:firstLine="540"/>
        <w:jc w:val="both"/>
      </w:pPr>
      <w:r>
        <w:rPr>
          <w:sz w:val="20"/>
        </w:rPr>
        <w:t xml:space="preserve">Формирование уведомления о сносе, уведомления о завершении сноса осуществляется посредством заполнения электронной формы уведомления о планируемом сносе, уведомления о завершении сноса на ЕПГУ, Региональном портале без необходимости дополнительной подачи уведомления о сносе, уведомления о завершении сноса в какой-либо иной форме.</w:t>
      </w:r>
    </w:p>
    <w:p>
      <w:pPr>
        <w:pStyle w:val="0"/>
        <w:spacing w:before="200" w:lineRule="auto"/>
        <w:ind w:firstLine="540"/>
        <w:jc w:val="both"/>
      </w:pPr>
      <w:r>
        <w:rPr>
          <w:sz w:val="20"/>
        </w:rPr>
        <w:t xml:space="preserve">Форматно-логическая проверка сформированного уведомления об окончании строительства осуществляется после заполнения заявителем каждого из полей электронной формы уведомления о сносе, уведомления о завершении сноса. При выявлении некорректно заполненного поля электронной формы уведомления о сносе, уведомления о завершении сноса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 сносе, уведомления о завершении сноса.</w:t>
      </w:r>
    </w:p>
    <w:p>
      <w:pPr>
        <w:pStyle w:val="0"/>
        <w:spacing w:before="200" w:lineRule="auto"/>
        <w:ind w:firstLine="540"/>
        <w:jc w:val="both"/>
      </w:pPr>
      <w:r>
        <w:rPr>
          <w:sz w:val="20"/>
        </w:rPr>
        <w:t xml:space="preserve">При формировании уведомления о сносе, уведомления о завершении сноса заявителю обеспечивается:</w:t>
      </w:r>
    </w:p>
    <w:p>
      <w:pPr>
        <w:pStyle w:val="0"/>
        <w:spacing w:before="200" w:lineRule="auto"/>
        <w:ind w:firstLine="540"/>
        <w:jc w:val="both"/>
      </w:pPr>
      <w:r>
        <w:rPr>
          <w:sz w:val="20"/>
        </w:rPr>
        <w:t xml:space="preserve">а) возможность копирования и сохранения уведомления о сносе, уведомления о завершении сноса и иных документов, указанных в Административном регламенте, необходимых для предоставления муниципальной услуги;</w:t>
      </w:r>
    </w:p>
    <w:p>
      <w:pPr>
        <w:pStyle w:val="0"/>
        <w:spacing w:before="200" w:lineRule="auto"/>
        <w:ind w:firstLine="540"/>
        <w:jc w:val="both"/>
      </w:pPr>
      <w:r>
        <w:rPr>
          <w:sz w:val="20"/>
        </w:rPr>
        <w:t xml:space="preserve">б) возможность печати на бумажном носителе копии электронной формы уведомления о сносе, уведомления о завершении сноса;</w:t>
      </w:r>
    </w:p>
    <w:p>
      <w:pPr>
        <w:pStyle w:val="0"/>
        <w:spacing w:before="200" w:lineRule="auto"/>
        <w:ind w:firstLine="540"/>
        <w:jc w:val="both"/>
      </w:pPr>
      <w:r>
        <w:rPr>
          <w:sz w:val="20"/>
        </w:rPr>
        <w:t xml:space="preserve">в) сохранение ранее введенных в электронную уведомления о сносе, уведомления о завершении сноса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 сносе, уведомления о завершении сноса;</w:t>
      </w:r>
    </w:p>
    <w:p>
      <w:pPr>
        <w:pStyle w:val="0"/>
        <w:spacing w:before="200" w:lineRule="auto"/>
        <w:ind w:firstLine="540"/>
        <w:jc w:val="both"/>
      </w:pPr>
      <w:r>
        <w:rPr>
          <w:sz w:val="20"/>
        </w:rPr>
        <w:t xml:space="preserve">г) заполнение полей электронной формы уведомления о сносе, уведомления о завершении сноса до начала ввода сведений заявителем с использованием сведений, размещенных в ЕСИА, и сведений, опубликованных на ЕПГУ, Региональном портале, в части, касающейся сведений, отсутствующих в ЕСИА;</w:t>
      </w:r>
    </w:p>
    <w:p>
      <w:pPr>
        <w:pStyle w:val="0"/>
        <w:spacing w:before="200" w:lineRule="auto"/>
        <w:ind w:firstLine="540"/>
        <w:jc w:val="both"/>
      </w:pPr>
      <w:r>
        <w:rPr>
          <w:sz w:val="20"/>
        </w:rPr>
        <w:t xml:space="preserve">д) возможность вернуться на любой из этапов заполнения электронной формы уведомления о сносе, уведомления о завершении сноса без потери ранее введенной информации;</w:t>
      </w:r>
    </w:p>
    <w:p>
      <w:pPr>
        <w:pStyle w:val="0"/>
        <w:spacing w:before="200" w:lineRule="auto"/>
        <w:ind w:firstLine="540"/>
        <w:jc w:val="both"/>
      </w:pPr>
      <w:r>
        <w:rPr>
          <w:sz w:val="20"/>
        </w:rPr>
        <w:t xml:space="preserve">е) возможность доступа заявителя на ЕПГУ, Региональном портале к ранее поданным им уведомлениям о сносе, уведомлениям о завершении сноса в течение не менее одного года, а также к частично сформированным уведомлениям - в течение не менее 3 месяцев.</w:t>
      </w:r>
    </w:p>
    <w:p>
      <w:pPr>
        <w:pStyle w:val="0"/>
        <w:spacing w:before="200" w:lineRule="auto"/>
        <w:ind w:firstLine="540"/>
        <w:jc w:val="both"/>
      </w:pPr>
      <w:r>
        <w:rPr>
          <w:sz w:val="20"/>
        </w:rPr>
        <w:t xml:space="preserve">Сформированное и подписанное уведомление о сносе, уведомление о завершении сноса и иные документы, необходимые для предоставления муниципальной услуги, направляются в Уполномоченный орган посредством ЕПГУ, Регионального портала.</w:t>
      </w:r>
    </w:p>
    <w:bookmarkStart w:id="270" w:name="P270"/>
    <w:bookmarkEnd w:id="270"/>
    <w:p>
      <w:pPr>
        <w:pStyle w:val="0"/>
        <w:spacing w:before="200" w:lineRule="auto"/>
        <w:ind w:firstLine="540"/>
        <w:jc w:val="both"/>
      </w:pPr>
      <w:r>
        <w:rPr>
          <w:sz w:val="20"/>
        </w:rPr>
        <w:t xml:space="preserve">3.3.2. Уполномоченный орган обеспечивает в срок не позднее 1 рабочего дня с момента подачи уведомления о сносе, уведомления о завершении сноса на ЕПГУ, Региональном портале, а в случае его поступления в нерабочий или праздничный день - в следующий за ним первый рабочий день:</w:t>
      </w:r>
    </w:p>
    <w:p>
      <w:pPr>
        <w:pStyle w:val="0"/>
        <w:spacing w:before="200" w:lineRule="auto"/>
        <w:ind w:firstLine="540"/>
        <w:jc w:val="both"/>
      </w:pPr>
      <w:r>
        <w:rPr>
          <w:sz w:val="20"/>
        </w:rPr>
        <w:t xml:space="preserve">а) прием документов, необходимых для предоставления муниципальной услуги, и направление заявителю электронного сообщения о поступлении уведомления о сносе, уведомления о завершении сноса;</w:t>
      </w:r>
    </w:p>
    <w:p>
      <w:pPr>
        <w:pStyle w:val="0"/>
        <w:spacing w:before="200" w:lineRule="auto"/>
        <w:ind w:firstLine="540"/>
        <w:jc w:val="both"/>
      </w:pPr>
      <w:r>
        <w:rPr>
          <w:sz w:val="20"/>
        </w:rPr>
        <w:t xml:space="preserve">б) регистрацию уведомления о сносе, уведомления о завершении сноса и направление заявителю уведомления о регистрации уведомления о сносе, уведомления о завершении сноса либо об отказе в приеме документов, необходимых для предоставления муниципальной услуги.</w:t>
      </w:r>
    </w:p>
    <w:p>
      <w:pPr>
        <w:pStyle w:val="0"/>
        <w:spacing w:before="200" w:lineRule="auto"/>
        <w:ind w:firstLine="540"/>
        <w:jc w:val="both"/>
      </w:pPr>
      <w:r>
        <w:rPr>
          <w:sz w:val="20"/>
        </w:rPr>
        <w:t xml:space="preserve">3.3.3. Электронное уведомление о сносе, уведомление о завершении сноса становится доступным для должностного лица Уполномоченного органа, ответственного за прием и регистрацию уведомления о сносе, уведомления о завершении сноса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pPr>
        <w:pStyle w:val="0"/>
        <w:spacing w:before="200" w:lineRule="auto"/>
        <w:ind w:firstLine="540"/>
        <w:jc w:val="both"/>
      </w:pPr>
      <w:r>
        <w:rPr>
          <w:sz w:val="20"/>
        </w:rPr>
        <w:t xml:space="preserve">Ответственное должностное лицо:</w:t>
      </w:r>
    </w:p>
    <w:p>
      <w:pPr>
        <w:pStyle w:val="0"/>
        <w:spacing w:before="200" w:lineRule="auto"/>
        <w:ind w:firstLine="540"/>
        <w:jc w:val="both"/>
      </w:pPr>
      <w:r>
        <w:rPr>
          <w:sz w:val="20"/>
        </w:rPr>
        <w:t xml:space="preserve">проверяет наличие электронных уведомлений о сносе, уведомлений о завершении сноса, поступивших с ЕПГУ, Регионального портала, с периодом не реже 2 раз в день;</w:t>
      </w:r>
    </w:p>
    <w:p>
      <w:pPr>
        <w:pStyle w:val="0"/>
        <w:spacing w:before="200" w:lineRule="auto"/>
        <w:ind w:firstLine="540"/>
        <w:jc w:val="both"/>
      </w:pPr>
      <w:r>
        <w:rPr>
          <w:sz w:val="20"/>
        </w:rPr>
        <w:t xml:space="preserve">рассматривает поступившие уведомление о сносе, уведомление о завершении сноса и приложенные образы документов (документы);</w:t>
      </w:r>
    </w:p>
    <w:p>
      <w:pPr>
        <w:pStyle w:val="0"/>
        <w:spacing w:before="200" w:lineRule="auto"/>
        <w:ind w:firstLine="540"/>
        <w:jc w:val="both"/>
      </w:pPr>
      <w:r>
        <w:rPr>
          <w:sz w:val="20"/>
        </w:rPr>
        <w:t xml:space="preserve">производит действия в соответствии с </w:t>
      </w:r>
      <w:hyperlink w:history="0" w:anchor="P270" w:tooltip="3.3.2. Уполномоченный орган обеспечивает в срок не позднее 1 рабочего дня с момента подачи уведомления о сносе, уведомления о завершении сноса на ЕПГУ, Региональном портале, а в случае его поступления в нерабочий или праздничный день - в следующий за ним первый рабочий день:">
        <w:r>
          <w:rPr>
            <w:sz w:val="20"/>
            <w:color w:val="0000ff"/>
          </w:rPr>
          <w:t xml:space="preserve">пунктом 3.3.2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3.3.4. Заявителю в качестве результата предоставления муниципальной услуги обеспечивается возможность получения документа:</w:t>
      </w:r>
    </w:p>
    <w:p>
      <w:pPr>
        <w:pStyle w:val="0"/>
        <w:spacing w:before="200" w:lineRule="auto"/>
        <w:ind w:firstLine="540"/>
        <w:jc w:val="both"/>
      </w:pPr>
      <w:r>
        <w:rPr>
          <w:sz w:val="20"/>
        </w:rP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Региональном портале;</w:t>
      </w:r>
    </w:p>
    <w:p>
      <w:pPr>
        <w:pStyle w:val="0"/>
        <w:spacing w:before="200" w:lineRule="auto"/>
        <w:ind w:firstLine="540"/>
        <w:jc w:val="both"/>
      </w:pPr>
      <w:r>
        <w:rPr>
          <w:sz w:val="20"/>
        </w:rPr>
        <w:t xml:space="preserve">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pPr>
        <w:pStyle w:val="0"/>
        <w:spacing w:before="200" w:lineRule="auto"/>
        <w:ind w:firstLine="540"/>
        <w:jc w:val="both"/>
      </w:pPr>
      <w:r>
        <w:rPr>
          <w:sz w:val="20"/>
        </w:rPr>
        <w:t xml:space="preserve">3.3.5. Получение информации о ходе рассмотрения уведомления о сносе, уведомления о завершении сноса, заявления и о результате предоставления муниципальной услуги производится в личном кабинете на ЕПГУ, Региональном портале при условии авторизации. Заявитель имеет возможность просматривать статус электронного уведомления о сносе, уведомления о завершении сноса, а также информацию о дальнейших действиях в личном кабинете по собственной инициативе в любое время.</w:t>
      </w:r>
    </w:p>
    <w:p>
      <w:pPr>
        <w:pStyle w:val="0"/>
        <w:spacing w:before="200" w:lineRule="auto"/>
        <w:ind w:firstLine="540"/>
        <w:jc w:val="both"/>
      </w:pPr>
      <w:r>
        <w:rPr>
          <w:sz w:val="20"/>
        </w:rPr>
        <w:t xml:space="preserve">При предоставлении муниципальной услуги в электронной форме заявителю направляется:</w:t>
      </w:r>
    </w:p>
    <w:p>
      <w:pPr>
        <w:pStyle w:val="0"/>
        <w:spacing w:before="200" w:lineRule="auto"/>
        <w:ind w:firstLine="540"/>
        <w:jc w:val="both"/>
      </w:pPr>
      <w:r>
        <w:rPr>
          <w:sz w:val="20"/>
        </w:rPr>
        <w:t xml:space="preserve">а) уведомление о приеме и регистрации уведомления о сносе, уведомления о завершении сноса и иных документов, необходимых для предоставления муниципальной услуги, содержащее сведения о факте приема уведомления о сносе, уведомления о завершении сноса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pPr>
        <w:pStyle w:val="0"/>
        <w:spacing w:before="200" w:lineRule="auto"/>
        <w:ind w:firstLine="540"/>
        <w:jc w:val="both"/>
      </w:pPr>
      <w:r>
        <w:rPr>
          <w:sz w:val="20"/>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pPr>
        <w:pStyle w:val="2"/>
        <w:spacing w:before="200" w:lineRule="auto"/>
        <w:outlineLvl w:val="2"/>
        <w:ind w:firstLine="540"/>
        <w:jc w:val="both"/>
      </w:pPr>
      <w:r>
        <w:rPr>
          <w:sz w:val="20"/>
        </w:rPr>
        <w:t xml:space="preserve">3.4. Оценка качества предоставления муниципальной услуги.</w:t>
      </w:r>
    </w:p>
    <w:p>
      <w:pPr>
        <w:pStyle w:val="0"/>
        <w:spacing w:before="200" w:lineRule="auto"/>
        <w:ind w:firstLine="540"/>
        <w:jc w:val="both"/>
      </w:pPr>
      <w:r>
        <w:rPr>
          <w:sz w:val="20"/>
        </w:rPr>
        <w:t xml:space="preserve">Оценка качества предоставления муниципальной услуги осуществляется в соответствии с </w:t>
      </w:r>
      <w:hyperlink w:history="0" r:id="rId33" w:tooltip="Постановление Правительства РФ от 12.12.2012 N 1284 (ред. от 24.03.2023) &quo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 {КонсультантПлюс}">
        <w:r>
          <w:rPr>
            <w:sz w:val="20"/>
            <w:color w:val="0000ff"/>
          </w:rPr>
          <w:t xml:space="preserve">Правилами</w:t>
        </w:r>
      </w:hyperlink>
      <w:r>
        <w:rPr>
          <w:sz w:val="20"/>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pPr>
        <w:pStyle w:val="0"/>
        <w:spacing w:before="200" w:lineRule="auto"/>
        <w:ind w:firstLine="540"/>
        <w:jc w:val="both"/>
      </w:pPr>
      <w:r>
        <w:rPr>
          <w:sz w:val="20"/>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w:history="0" r:id="rId34"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статьей 11.2</w:t>
        </w:r>
      </w:hyperlink>
      <w:r>
        <w:rPr>
          <w:sz w:val="20"/>
        </w:rPr>
        <w:t xml:space="preserve"> Федерального закона N 210-ФЗ и в порядке, установленном </w:t>
      </w:r>
      <w:hyperlink w:history="0" r:id="rId35"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quot; (вместе с &quot;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КонсультантПлюс}">
        <w:r>
          <w:rPr>
            <w:sz w:val="20"/>
            <w:color w:val="0000ff"/>
          </w:rPr>
          <w:t xml:space="preserve">постановлением</w:t>
        </w:r>
      </w:hyperlink>
      <w:r>
        <w:rPr>
          <w:sz w:val="20"/>
        </w:rPr>
        <w:t xml:space="preserve">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2"/>
        <w:spacing w:before="200" w:lineRule="auto"/>
        <w:outlineLvl w:val="2"/>
        <w:ind w:firstLine="540"/>
        <w:jc w:val="both"/>
      </w:pPr>
      <w:r>
        <w:rPr>
          <w:sz w:val="20"/>
        </w:rPr>
        <w:t xml:space="preserve">3.5. Предоставление муниципальной услуги в упреждающем (проактивном) режиме.</w:t>
      </w:r>
    </w:p>
    <w:p>
      <w:pPr>
        <w:pStyle w:val="0"/>
        <w:spacing w:before="200" w:lineRule="auto"/>
        <w:ind w:firstLine="540"/>
        <w:jc w:val="both"/>
      </w:pPr>
      <w:r>
        <w:rPr>
          <w:sz w:val="20"/>
        </w:rPr>
        <w:t xml:space="preserve">Предоставление муниципальной услуги в упреждающем (проактивном) режиме не предусмотрено.</w:t>
      </w:r>
    </w:p>
    <w:p>
      <w:pPr>
        <w:pStyle w:val="2"/>
        <w:spacing w:before="200" w:lineRule="auto"/>
        <w:outlineLvl w:val="1"/>
        <w:ind w:firstLine="540"/>
        <w:jc w:val="both"/>
      </w:pPr>
      <w:r>
        <w:rPr>
          <w:sz w:val="20"/>
        </w:rPr>
        <w:t xml:space="preserve">4. Исключен. - </w:t>
      </w:r>
      <w:hyperlink w:history="0" r:id="rId36" w:tooltip="Постановление администрации Афанасьевского муниципального округа Кировской области от 26.03.2025 N 197 &quot;О внесении изменений в постановление администрации Афанасьевского муниципального округа Кировской области от 17.02.2023 N 88&quot; {КонсультантПлюс}">
        <w:r>
          <w:rPr>
            <w:sz w:val="20"/>
            <w:color w:val="0000ff"/>
          </w:rPr>
          <w:t xml:space="preserve">Постановление</w:t>
        </w:r>
      </w:hyperlink>
      <w:r>
        <w:rPr>
          <w:sz w:val="20"/>
        </w:rPr>
        <w:t xml:space="preserve"> администрации Афанасьевского муниципального округа Кировской области от 26.03.2025 N 197.</w:t>
      </w:r>
    </w:p>
    <w:p>
      <w:pPr>
        <w:pStyle w:val="2"/>
        <w:spacing w:before="200" w:lineRule="auto"/>
        <w:outlineLvl w:val="1"/>
        <w:ind w:firstLine="540"/>
        <w:jc w:val="both"/>
      </w:pPr>
      <w:r>
        <w:rPr>
          <w:sz w:val="20"/>
        </w:rPr>
        <w:t xml:space="preserve">5. Исключен. - </w:t>
      </w:r>
      <w:hyperlink w:history="0" r:id="rId37" w:tooltip="Постановление администрации Афанасьевского муниципального округа Кировской области от 26.03.2025 N 197 &quot;О внесении изменений в постановление администрации Афанасьевского муниципального округа Кировской области от 17.02.2023 N 88&quot; {КонсультантПлюс}">
        <w:r>
          <w:rPr>
            <w:sz w:val="20"/>
            <w:color w:val="0000ff"/>
          </w:rPr>
          <w:t xml:space="preserve">Постановление</w:t>
        </w:r>
      </w:hyperlink>
      <w:r>
        <w:rPr>
          <w:sz w:val="20"/>
        </w:rPr>
        <w:t xml:space="preserve"> администрации Афанасьевского муниципального округа Кировской области от 26.03.2025 N 197.</w:t>
      </w:r>
    </w:p>
    <w:p>
      <w:pPr>
        <w:pStyle w:val="2"/>
        <w:spacing w:before="200" w:lineRule="auto"/>
        <w:outlineLvl w:val="1"/>
        <w:ind w:firstLine="540"/>
        <w:jc w:val="both"/>
      </w:pPr>
      <w:r>
        <w:rPr>
          <w:sz w:val="20"/>
        </w:rPr>
        <w:t xml:space="preserve">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pPr>
        <w:pStyle w:val="2"/>
        <w:spacing w:before="200" w:lineRule="auto"/>
        <w:outlineLvl w:val="2"/>
        <w:ind w:firstLine="540"/>
        <w:jc w:val="both"/>
      </w:pPr>
      <w:r>
        <w:rPr>
          <w:sz w:val="20"/>
        </w:rPr>
        <w:t xml:space="preserve">6.1. 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pPr>
        <w:pStyle w:val="0"/>
        <w:spacing w:before="200" w:lineRule="auto"/>
        <w:ind w:firstLine="540"/>
        <w:jc w:val="both"/>
      </w:pPr>
      <w:r>
        <w:rPr>
          <w:sz w:val="20"/>
        </w:rPr>
        <w:t xml:space="preserve">Многофункциональный центр осуществляет:</w:t>
      </w:r>
    </w:p>
    <w:p>
      <w:pPr>
        <w:pStyle w:val="0"/>
        <w:spacing w:before="200" w:lineRule="auto"/>
        <w:ind w:firstLine="540"/>
        <w:jc w:val="both"/>
      </w:pPr>
      <w:r>
        <w:rPr>
          <w:sz w:val="20"/>
        </w:rPr>
        <w:t xml:space="preserve">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pPr>
        <w:pStyle w:val="0"/>
        <w:spacing w:before="200" w:lineRule="auto"/>
        <w:ind w:firstLine="540"/>
        <w:jc w:val="both"/>
      </w:pPr>
      <w:r>
        <w:rPr>
          <w:sz w:val="20"/>
        </w:rPr>
        <w:t xml:space="preserve">выдачу заявителю результата предоставления муниципальной услуги на бумажном носителе, подтверждающего содержание электронных документов, направленных в многофункциональный центр по результатам предоставления муниципальной услуги, а также выдачу документов, включая составление на бумажном носителе и заверение выписок из информационных систем органов, предоставляющих государственных (муниципальных) услуг;</w:t>
      </w:r>
    </w:p>
    <w:p>
      <w:pPr>
        <w:pStyle w:val="0"/>
        <w:spacing w:before="200" w:lineRule="auto"/>
        <w:ind w:firstLine="540"/>
        <w:jc w:val="both"/>
      </w:pPr>
      <w:r>
        <w:rPr>
          <w:sz w:val="20"/>
        </w:rPr>
        <w:t xml:space="preserve">иные процедуры и действия, предусмотренные Федеральным </w:t>
      </w:r>
      <w:hyperlink w:history="0" r:id="rId38"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N 210-ФЗ.</w:t>
      </w:r>
    </w:p>
    <w:p>
      <w:pPr>
        <w:pStyle w:val="0"/>
        <w:spacing w:before="200" w:lineRule="auto"/>
        <w:ind w:firstLine="540"/>
        <w:jc w:val="both"/>
      </w:pPr>
      <w:r>
        <w:rPr>
          <w:sz w:val="20"/>
        </w:rPr>
        <w:t xml:space="preserve">В соответствии с </w:t>
      </w:r>
      <w:hyperlink w:history="0" r:id="rId39"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Федерального закона N 210-ФЗ для реализации своих функций многофункциональные центры вправе привлекать иные организации.</w:t>
      </w:r>
    </w:p>
    <w:p>
      <w:pPr>
        <w:pStyle w:val="2"/>
        <w:spacing w:before="200" w:lineRule="auto"/>
        <w:outlineLvl w:val="2"/>
        <w:ind w:firstLine="540"/>
        <w:jc w:val="both"/>
      </w:pPr>
      <w:r>
        <w:rPr>
          <w:sz w:val="20"/>
        </w:rPr>
        <w:t xml:space="preserve">6.2. Информирование заявителей.</w:t>
      </w:r>
    </w:p>
    <w:p>
      <w:pPr>
        <w:pStyle w:val="0"/>
        <w:spacing w:before="200" w:lineRule="auto"/>
        <w:ind w:firstLine="540"/>
        <w:jc w:val="both"/>
      </w:pPr>
      <w:r>
        <w:rPr>
          <w:sz w:val="20"/>
        </w:rPr>
        <w:t xml:space="preserve">Информирование заявителя многофункциональными центрами осуществляется следующими способами:</w:t>
      </w:r>
    </w:p>
    <w:p>
      <w:pPr>
        <w:pStyle w:val="0"/>
        <w:spacing w:before="200" w:lineRule="auto"/>
        <w:ind w:firstLine="540"/>
        <w:jc w:val="both"/>
      </w:pPr>
      <w:r>
        <w:rPr>
          <w:sz w:val="20"/>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pPr>
        <w:pStyle w:val="0"/>
        <w:spacing w:before="200" w:lineRule="auto"/>
        <w:ind w:firstLine="540"/>
        <w:jc w:val="both"/>
      </w:pPr>
      <w:r>
        <w:rPr>
          <w:sz w:val="20"/>
        </w:rPr>
        <w:t xml:space="preserve">б) при обращении заявителя в многофункциональный центр лично, по телефону, посредством почтовых отправлений либо по электронной почте.</w:t>
      </w:r>
    </w:p>
    <w:p>
      <w:pPr>
        <w:pStyle w:val="0"/>
        <w:spacing w:before="200" w:lineRule="auto"/>
        <w:ind w:firstLine="540"/>
        <w:jc w:val="both"/>
      </w:pPr>
      <w:r>
        <w:rPr>
          <w:sz w:val="20"/>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pPr>
        <w:pStyle w:val="0"/>
        <w:spacing w:before="200" w:lineRule="auto"/>
        <w:ind w:firstLine="540"/>
        <w:jc w:val="both"/>
      </w:pPr>
      <w:r>
        <w:rPr>
          <w:sz w:val="20"/>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pPr>
        <w:pStyle w:val="0"/>
        <w:spacing w:before="200" w:lineRule="auto"/>
        <w:ind w:firstLine="540"/>
        <w:jc w:val="both"/>
      </w:pPr>
      <w:r>
        <w:rPr>
          <w:sz w:val="20"/>
        </w:rPr>
        <w:t xml:space="preserve">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pPr>
        <w:pStyle w:val="0"/>
        <w:spacing w:before="200" w:lineRule="auto"/>
        <w:ind w:firstLine="540"/>
        <w:jc w:val="both"/>
      </w:pPr>
      <w:r>
        <w:rPr>
          <w:sz w:val="20"/>
        </w:rPr>
        <w:t xml:space="preserve">изложить обращение в письменной форме (ответ направляется заявителю в соответствии со способом, указанным в обращении);</w:t>
      </w:r>
    </w:p>
    <w:p>
      <w:pPr>
        <w:pStyle w:val="0"/>
        <w:spacing w:before="200" w:lineRule="auto"/>
        <w:ind w:firstLine="540"/>
        <w:jc w:val="both"/>
      </w:pPr>
      <w:r>
        <w:rPr>
          <w:sz w:val="20"/>
        </w:rPr>
        <w:t xml:space="preserve">назначить другое время для консультаций.</w:t>
      </w:r>
    </w:p>
    <w:p>
      <w:pPr>
        <w:pStyle w:val="0"/>
        <w:spacing w:before="200" w:lineRule="auto"/>
        <w:ind w:firstLine="540"/>
        <w:jc w:val="both"/>
      </w:pPr>
      <w:r>
        <w:rPr>
          <w:sz w:val="20"/>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pPr>
        <w:pStyle w:val="2"/>
        <w:spacing w:before="200" w:lineRule="auto"/>
        <w:outlineLvl w:val="2"/>
        <w:ind w:firstLine="540"/>
        <w:jc w:val="both"/>
      </w:pPr>
      <w:r>
        <w:rPr>
          <w:sz w:val="20"/>
        </w:rPr>
        <w:t xml:space="preserve">6.3. Выдача заявителю результата предоставления муниципальной услуги.</w:t>
      </w:r>
    </w:p>
    <w:p>
      <w:pPr>
        <w:pStyle w:val="0"/>
        <w:spacing w:before="200" w:lineRule="auto"/>
        <w:ind w:firstLine="540"/>
        <w:jc w:val="both"/>
      </w:pPr>
      <w:r>
        <w:rPr>
          <w:sz w:val="20"/>
        </w:rPr>
        <w:t xml:space="preserve">6.3.1. При наличии в уведомлении о планируемом сносе, уведомлении о завершении сноса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соглашениям о взаимодействии, заключенным между Уполномоченным органом и многофункциональным центром в порядке, утвержденном </w:t>
      </w:r>
      <w:hyperlink w:history="0" r:id="rId40"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постановлением</w:t>
        </w:r>
      </w:hyperlink>
      <w:r>
        <w:rPr>
          <w:sz w:val="20"/>
        </w:rPr>
        <w:t xml:space="preserve"> Правительства Российской Федерации от 27 сентября 2011 года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pPr>
        <w:pStyle w:val="0"/>
        <w:spacing w:before="200" w:lineRule="auto"/>
        <w:ind w:firstLine="540"/>
        <w:jc w:val="both"/>
      </w:pPr>
      <w:r>
        <w:rPr>
          <w:sz w:val="20"/>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w:t>
      </w:r>
      <w:hyperlink w:history="0" r:id="rId41"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постановлением</w:t>
        </w:r>
      </w:hyperlink>
      <w:r>
        <w:rPr>
          <w:sz w:val="20"/>
        </w:rPr>
        <w:t xml:space="preserve"> Правительства Российской Федерации от 27 сентября 2011 года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pPr>
        <w:pStyle w:val="0"/>
        <w:spacing w:before="200" w:lineRule="auto"/>
        <w:ind w:firstLine="540"/>
        <w:jc w:val="both"/>
      </w:pPr>
      <w:r>
        <w:rPr>
          <w:sz w:val="20"/>
        </w:rPr>
        <w:t xml:space="preserve">6.3.2.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pPr>
        <w:pStyle w:val="0"/>
        <w:spacing w:before="200" w:lineRule="auto"/>
        <w:ind w:firstLine="540"/>
        <w:jc w:val="both"/>
      </w:pPr>
      <w:r>
        <w:rPr>
          <w:sz w:val="20"/>
        </w:rPr>
        <w:t xml:space="preserve">Работник многофункционального центра осуществляет следующие действия:</w:t>
      </w:r>
    </w:p>
    <w:p>
      <w:pPr>
        <w:pStyle w:val="0"/>
        <w:spacing w:before="200" w:lineRule="auto"/>
        <w:ind w:firstLine="540"/>
        <w:jc w:val="both"/>
      </w:pPr>
      <w:r>
        <w:rPr>
          <w:sz w:val="20"/>
        </w:rPr>
        <w:t xml:space="preserve">устанавливает личность заявителя на основании документа, удостоверяющего личность в соответствии с законодательством Российской Федерации;</w:t>
      </w:r>
    </w:p>
    <w:p>
      <w:pPr>
        <w:pStyle w:val="0"/>
        <w:spacing w:before="200" w:lineRule="auto"/>
        <w:ind w:firstLine="540"/>
        <w:jc w:val="both"/>
      </w:pPr>
      <w:r>
        <w:rPr>
          <w:sz w:val="20"/>
        </w:rPr>
        <w:t xml:space="preserve">проверяет полномочия представителя заявителя (в случае обращения представителя заявителя);</w:t>
      </w:r>
    </w:p>
    <w:p>
      <w:pPr>
        <w:pStyle w:val="0"/>
        <w:spacing w:before="200" w:lineRule="auto"/>
        <w:ind w:firstLine="540"/>
        <w:jc w:val="both"/>
      </w:pPr>
      <w:r>
        <w:rPr>
          <w:sz w:val="20"/>
        </w:rPr>
        <w:t xml:space="preserve">определяет статус исполнения уведомления об окончании строительства в ГИС;</w:t>
      </w:r>
    </w:p>
    <w:p>
      <w:pPr>
        <w:pStyle w:val="0"/>
        <w:spacing w:before="200" w:lineRule="auto"/>
        <w:ind w:firstLine="540"/>
        <w:jc w:val="both"/>
      </w:pPr>
      <w:r>
        <w:rPr>
          <w:sz w:val="20"/>
        </w:rPr>
        <w:t xml:space="preserve">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pPr>
        <w:pStyle w:val="0"/>
        <w:spacing w:before="200" w:lineRule="auto"/>
        <w:ind w:firstLine="540"/>
        <w:jc w:val="both"/>
      </w:pPr>
      <w:r>
        <w:rPr>
          <w:sz w:val="20"/>
        </w:rPr>
        <w:t xml:space="preserve">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pPr>
        <w:pStyle w:val="0"/>
        <w:spacing w:before="200" w:lineRule="auto"/>
        <w:ind w:firstLine="540"/>
        <w:jc w:val="both"/>
      </w:pPr>
      <w:r>
        <w:rPr>
          <w:sz w:val="20"/>
        </w:rPr>
        <w:t xml:space="preserve">выдает документы заявителю, при необходимости запрашивает у заявителя подписи за каждый выданный документ;</w:t>
      </w:r>
    </w:p>
    <w:p>
      <w:pPr>
        <w:pStyle w:val="0"/>
        <w:spacing w:before="200" w:lineRule="auto"/>
        <w:ind w:firstLine="540"/>
        <w:jc w:val="both"/>
      </w:pPr>
      <w:r>
        <w:rPr>
          <w:sz w:val="20"/>
        </w:rPr>
        <w:t xml:space="preserve">запрашивает согласие заявителя на участие в смс-опросе для оценки качества предоставленных услуг многофункциональным центром.</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Административному регламенту</w:t>
      </w:r>
    </w:p>
    <w:p>
      <w:pPr>
        <w:pStyle w:val="0"/>
        <w:jc w:val="right"/>
      </w:pPr>
      <w:r>
        <w:rPr>
          <w:sz w:val="20"/>
        </w:rPr>
        <w:t xml:space="preserve">по предоставлению муниципальной услуги</w:t>
      </w:r>
    </w:p>
    <w:p>
      <w:pPr>
        <w:pStyle w:val="0"/>
        <w:jc w:val="both"/>
      </w:pPr>
      <w:r>
        <w:rPr>
          <w:sz w:val="20"/>
        </w:rPr>
      </w:r>
    </w:p>
    <w:tbl>
      <w:tblPr>
        <w:tblInd w:w="0" w:type="dxa"/>
        <w:tblLayout w:type="fixed"/>
        <w:tblCellMar>
          <w:top w:w="102" w:type="dxa"/>
          <w:left w:w="62" w:type="dxa"/>
          <w:bottom w:w="102" w:type="dxa"/>
          <w:right w:w="62" w:type="dxa"/>
        </w:tblCellMar>
      </w:tblPr>
      <w:tblGrid>
        <w:gridCol w:w="4535"/>
        <w:gridCol w:w="4535"/>
      </w:tblGrid>
      <w:tr>
        <w:tc>
          <w:tcPr>
            <w:gridSpan w:val="2"/>
            <w:tcW w:w="9070" w:type="dxa"/>
            <w:tcBorders>
              <w:top w:val="nil"/>
              <w:left w:val="nil"/>
              <w:bottom w:val="nil"/>
              <w:right w:val="nil"/>
            </w:tcBorders>
          </w:tcPr>
          <w:p>
            <w:pPr>
              <w:pStyle w:val="0"/>
              <w:jc w:val="right"/>
            </w:pPr>
            <w:r>
              <w:rPr>
                <w:sz w:val="20"/>
              </w:rPr>
              <w:t xml:space="preserve">ФОРМА</w:t>
            </w:r>
          </w:p>
        </w:tc>
      </w:tr>
      <w:tr>
        <w:tc>
          <w:tcPr>
            <w:tcW w:w="4535" w:type="dxa"/>
            <w:tcBorders>
              <w:top w:val="nil"/>
              <w:left w:val="nil"/>
              <w:bottom w:val="nil"/>
              <w:right w:val="nil"/>
            </w:tcBorders>
          </w:tcPr>
          <w:p>
            <w:pPr>
              <w:pStyle w:val="0"/>
            </w:pPr>
            <w:r>
              <w:rPr>
                <w:sz w:val="20"/>
              </w:rPr>
            </w:r>
          </w:p>
        </w:tc>
        <w:tc>
          <w:tcPr>
            <w:tcW w:w="4535" w:type="dxa"/>
            <w:tcBorders>
              <w:top w:val="nil"/>
              <w:left w:val="nil"/>
              <w:bottom w:val="nil"/>
              <w:right w:val="nil"/>
            </w:tcBorders>
          </w:tcPr>
          <w:p>
            <w:pPr>
              <w:pStyle w:val="0"/>
              <w:jc w:val="both"/>
            </w:pPr>
            <w:r>
              <w:rPr>
                <w:sz w:val="20"/>
              </w:rPr>
              <w:t xml:space="preserve">Кому _______________________________</w:t>
            </w:r>
          </w:p>
          <w:p>
            <w:pPr>
              <w:pStyle w:val="0"/>
              <w:jc w:val="center"/>
            </w:pPr>
            <w:r>
              <w:rPr>
                <w:sz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&lt;*&gt;, ОГРН - для юридического лица,</w:t>
            </w:r>
          </w:p>
          <w:p>
            <w:pPr>
              <w:pStyle w:val="0"/>
              <w:jc w:val="both"/>
            </w:pPr>
            <w:r>
              <w:rPr>
                <w:sz w:val="20"/>
              </w:rPr>
              <w:t xml:space="preserve">___________________________________</w:t>
            </w:r>
          </w:p>
          <w:p>
            <w:pPr>
              <w:pStyle w:val="0"/>
              <w:jc w:val="center"/>
            </w:pPr>
            <w:r>
              <w:rPr>
                <w:sz w:val="20"/>
              </w:rPr>
              <w:t xml:space="preserve">почтовый индекс и адрес, телефон, адрес электронной почты застройщика)</w:t>
            </w:r>
          </w:p>
        </w:tc>
      </w:tr>
      <w:tr>
        <w:tc>
          <w:tcPr>
            <w:gridSpan w:val="2"/>
            <w:tcW w:w="9070" w:type="dxa"/>
            <w:tcBorders>
              <w:top w:val="nil"/>
              <w:left w:val="nil"/>
              <w:bottom w:val="nil"/>
              <w:right w:val="nil"/>
            </w:tcBorders>
          </w:tcPr>
          <w:bookmarkStart w:id="336" w:name="P336"/>
          <w:bookmarkEnd w:id="336"/>
          <w:p>
            <w:pPr>
              <w:pStyle w:val="0"/>
              <w:jc w:val="center"/>
            </w:pPr>
            <w:r>
              <w:rPr>
                <w:sz w:val="20"/>
              </w:rPr>
              <w:t xml:space="preserve">РЕШЕНИЕ</w:t>
            </w:r>
          </w:p>
          <w:p>
            <w:pPr>
              <w:pStyle w:val="0"/>
              <w:jc w:val="center"/>
            </w:pPr>
            <w:r>
              <w:rPr>
                <w:sz w:val="20"/>
              </w:rPr>
              <w:t xml:space="preserve">об отказе в приеме документов</w:t>
            </w:r>
          </w:p>
          <w:p>
            <w:pPr>
              <w:pStyle w:val="0"/>
            </w:pPr>
            <w:r>
              <w:rPr>
                <w:sz w:val="20"/>
              </w:rPr>
            </w:r>
          </w:p>
          <w:p>
            <w:pPr>
              <w:pStyle w:val="0"/>
              <w:jc w:val="center"/>
            </w:pPr>
            <w:r>
              <w:rPr>
                <w:sz w:val="20"/>
              </w:rPr>
              <w:t xml:space="preserve">_________________________________________________________________________</w:t>
            </w:r>
          </w:p>
          <w:p>
            <w:pPr>
              <w:pStyle w:val="0"/>
              <w:jc w:val="center"/>
            </w:pPr>
            <w:r>
              <w:rPr>
                <w:sz w:val="20"/>
              </w:rPr>
              <w:t xml:space="preserve">(наименование уполномоченного органа местного самоуправления)</w:t>
            </w:r>
          </w:p>
          <w:p>
            <w:pPr>
              <w:pStyle w:val="0"/>
            </w:pPr>
            <w:r>
              <w:rPr>
                <w:sz w:val="20"/>
              </w:rPr>
            </w:r>
          </w:p>
          <w:p>
            <w:pPr>
              <w:pStyle w:val="0"/>
              <w:ind w:firstLine="283"/>
              <w:jc w:val="both"/>
            </w:pPr>
            <w:r>
              <w:rPr>
                <w:sz w:val="20"/>
              </w:rPr>
              <w:t xml:space="preserve">В приеме документов для предоставления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Вам отказано по следующим основаниям:</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17"/>
        <w:gridCol w:w="4252"/>
        <w:gridCol w:w="3402"/>
      </w:tblGrid>
      <w:tr>
        <w:tc>
          <w:tcPr>
            <w:tcW w:w="1417" w:type="dxa"/>
          </w:tcPr>
          <w:p>
            <w:pPr>
              <w:pStyle w:val="0"/>
              <w:jc w:val="center"/>
            </w:pPr>
            <w:r>
              <w:rPr>
                <w:sz w:val="20"/>
              </w:rPr>
              <w:t xml:space="preserve">N пункта Административного регламента</w:t>
            </w:r>
          </w:p>
        </w:tc>
        <w:tc>
          <w:tcPr>
            <w:tcW w:w="4252" w:type="dxa"/>
          </w:tcPr>
          <w:p>
            <w:pPr>
              <w:pStyle w:val="0"/>
              <w:jc w:val="center"/>
            </w:pPr>
            <w:r>
              <w:rPr>
                <w:sz w:val="20"/>
              </w:rPr>
              <w:t xml:space="preserve">Наименование основания для отказа в соответствии с Административным регламентом</w:t>
            </w:r>
          </w:p>
        </w:tc>
        <w:tc>
          <w:tcPr>
            <w:tcW w:w="3402" w:type="dxa"/>
          </w:tcPr>
          <w:p>
            <w:pPr>
              <w:pStyle w:val="0"/>
              <w:jc w:val="center"/>
            </w:pPr>
            <w:r>
              <w:rPr>
                <w:sz w:val="20"/>
              </w:rPr>
              <w:t xml:space="preserve">Разъяснение причин отказа в приеме документов</w:t>
            </w:r>
          </w:p>
        </w:tc>
      </w:tr>
      <w:tr>
        <w:tc>
          <w:tcPr>
            <w:tcW w:w="1417" w:type="dxa"/>
          </w:tcPr>
          <w:p>
            <w:pPr>
              <w:pStyle w:val="0"/>
            </w:pPr>
            <w:hyperlink w:history="0" w:anchor="P163" w:tooltip="а) уведомление о сносе, уведомление о завершении сноса представлено в орган государственной власти, орган местного самоуправления, в полномочия которых не входит предоставление услуги;">
              <w:r>
                <w:rPr>
                  <w:sz w:val="20"/>
                  <w:color w:val="0000ff"/>
                </w:rPr>
                <w:t xml:space="preserve">Подпункт "а" пункта 2.7.3</w:t>
              </w:r>
            </w:hyperlink>
          </w:p>
        </w:tc>
        <w:tc>
          <w:tcPr>
            <w:tcW w:w="4252" w:type="dxa"/>
          </w:tcPr>
          <w:p>
            <w:pPr>
              <w:pStyle w:val="0"/>
            </w:pPr>
            <w:r>
              <w:rPr>
                <w:sz w:val="20"/>
              </w:rPr>
              <w:t xml:space="preserve">уведомление о сносе, уведомление о завершении сноса представлено в орган государственной власти, орган местного самоуправления, в полномочия которых не входит предоставление услуги</w:t>
            </w:r>
          </w:p>
        </w:tc>
        <w:tc>
          <w:tcPr>
            <w:tcW w:w="3402" w:type="dxa"/>
          </w:tcPr>
          <w:p>
            <w:pPr>
              <w:pStyle w:val="0"/>
            </w:pPr>
            <w:r>
              <w:rPr>
                <w:sz w:val="20"/>
              </w:rPr>
              <w:t xml:space="preserve">Указывается, какое ведомство предоставляет услугу, информация о его местонахождении</w:t>
            </w:r>
          </w:p>
        </w:tc>
      </w:tr>
      <w:tr>
        <w:tc>
          <w:tcPr>
            <w:tcW w:w="1417" w:type="dxa"/>
          </w:tcPr>
          <w:p>
            <w:pPr>
              <w:pStyle w:val="0"/>
            </w:pPr>
            <w:hyperlink w:history="0" w:anchor="P164" w:tooltip="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
              <w:r>
                <w:rPr>
                  <w:sz w:val="20"/>
                  <w:color w:val="0000ff"/>
                </w:rPr>
                <w:t xml:space="preserve">Подпункт "б" пункта 2.7.3</w:t>
              </w:r>
            </w:hyperlink>
          </w:p>
        </w:tc>
        <w:tc>
          <w:tcPr>
            <w:tcW w:w="4252" w:type="dxa"/>
          </w:tcPr>
          <w:p>
            <w:pPr>
              <w:pStyle w:val="0"/>
            </w:pPr>
            <w:r>
              <w:rPr>
                <w:sz w:val="20"/>
              </w:rPr>
              <w:t xml:space="preserve">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3402" w:type="dxa"/>
          </w:tcPr>
          <w:p>
            <w:pPr>
              <w:pStyle w:val="0"/>
            </w:pPr>
            <w:r>
              <w:rPr>
                <w:sz w:val="20"/>
              </w:rPr>
              <w:t xml:space="preserve">Указывается исчерпывающий перечень документов, утративших силу</w:t>
            </w:r>
          </w:p>
        </w:tc>
      </w:tr>
      <w:tr>
        <w:tc>
          <w:tcPr>
            <w:tcW w:w="1417" w:type="dxa"/>
          </w:tcPr>
          <w:p>
            <w:pPr>
              <w:pStyle w:val="0"/>
            </w:pPr>
            <w:hyperlink w:history="0" w:anchor="P165" w:tooltip="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r>
                <w:rPr>
                  <w:sz w:val="20"/>
                  <w:color w:val="0000ff"/>
                </w:rPr>
                <w:t xml:space="preserve">Подпункт "в" пункта 2.7.3</w:t>
              </w:r>
            </w:hyperlink>
          </w:p>
        </w:tc>
        <w:tc>
          <w:tcPr>
            <w:tcW w:w="4252" w:type="dxa"/>
          </w:tcPr>
          <w:p>
            <w:pPr>
              <w:pStyle w:val="0"/>
            </w:pPr>
            <w:r>
              <w:rPr>
                <w:sz w:val="20"/>
              </w:rPr>
              <w:t xml:space="preserve">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tc>
        <w:tc>
          <w:tcPr>
            <w:tcW w:w="3402" w:type="dxa"/>
          </w:tcPr>
          <w:p>
            <w:pPr>
              <w:pStyle w:val="0"/>
            </w:pPr>
            <w:r>
              <w:rPr>
                <w:sz w:val="20"/>
              </w:rPr>
              <w:t xml:space="preserve">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tc>
          <w:tcPr>
            <w:tcW w:w="1417" w:type="dxa"/>
          </w:tcPr>
          <w:p>
            <w:pPr>
              <w:pStyle w:val="0"/>
            </w:pPr>
            <w:hyperlink w:history="0" w:anchor="P166" w:tooltip="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r>
                <w:rPr>
                  <w:sz w:val="20"/>
                  <w:color w:val="0000ff"/>
                </w:rPr>
                <w:t xml:space="preserve">Подпункт "г" пункта 2.7.3</w:t>
              </w:r>
            </w:hyperlink>
          </w:p>
        </w:tc>
        <w:tc>
          <w:tcPr>
            <w:tcW w:w="4252" w:type="dxa"/>
          </w:tcPr>
          <w:p>
            <w:pPr>
              <w:pStyle w:val="0"/>
            </w:pPr>
            <w:r>
              <w:rPr>
                <w:sz w:val="20"/>
              </w:rPr>
              <w:t xml:space="preserve">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402" w:type="dxa"/>
          </w:tcPr>
          <w:p>
            <w:pPr>
              <w:pStyle w:val="0"/>
            </w:pPr>
            <w:r>
              <w:rPr>
                <w:sz w:val="20"/>
              </w:rPr>
              <w:t xml:space="preserve">Указывается исчерпывающий перечень документов, содержащих повреждения</w:t>
            </w:r>
          </w:p>
        </w:tc>
      </w:tr>
      <w:tr>
        <w:tc>
          <w:tcPr>
            <w:tcW w:w="1417" w:type="dxa"/>
          </w:tcPr>
          <w:p>
            <w:pPr>
              <w:pStyle w:val="0"/>
            </w:pPr>
            <w:hyperlink w:history="0" w:anchor="P167" w:tooltip="д) уведомление о сносе, уведомление о завершении сноса и документы, указанные в пункте 2.4.5 настоящего Административного регламента, представлены в электронной форме с нарушением требований, установленных пунктами 2.4.2 - 2.4.4 настоящего Административного регламента;">
              <w:r>
                <w:rPr>
                  <w:sz w:val="20"/>
                  <w:color w:val="0000ff"/>
                </w:rPr>
                <w:t xml:space="preserve">Подпункт "д" пункта 2.7.3</w:t>
              </w:r>
            </w:hyperlink>
          </w:p>
        </w:tc>
        <w:tc>
          <w:tcPr>
            <w:tcW w:w="4252" w:type="dxa"/>
          </w:tcPr>
          <w:p>
            <w:pPr>
              <w:pStyle w:val="0"/>
            </w:pPr>
            <w:r>
              <w:rPr>
                <w:sz w:val="20"/>
              </w:rPr>
              <w:t xml:space="preserve">уведомление о сносе, уведомление о завершении сноса и документы, указанные в </w:t>
            </w:r>
            <w:hyperlink w:history="0" w:anchor="P124" w:tooltip="2.4.5.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пункте 2.4.5</w:t>
              </w:r>
            </w:hyperlink>
            <w:r>
              <w:rPr>
                <w:sz w:val="20"/>
              </w:rPr>
              <w:t xml:space="preserve"> настоящего Административного регламента, представлены в электронной форме с нарушением требований, установленных </w:t>
            </w:r>
            <w:hyperlink w:history="0" w:anchor="P113" w:tooltip="2.4.2. Документы, прилагаемые к уведомлению о сносе, уведомлению о завершении сноса, представляемые в электронной форме, направляются в следующих форматах:">
              <w:r>
                <w:rPr>
                  <w:sz w:val="20"/>
                  <w:color w:val="0000ff"/>
                </w:rPr>
                <w:t xml:space="preserve">пунктами 2.4.2</w:t>
              </w:r>
            </w:hyperlink>
            <w:r>
              <w:rPr>
                <w:sz w:val="20"/>
              </w:rPr>
              <w:t xml:space="preserve"> - </w:t>
            </w:r>
            <w:hyperlink w:history="0" w:anchor="P122" w:tooltip="2.4.4. Документы, прилагаемые заявителем к уведомлению о сносе, уведомлению о завершении сноса, представляемые в электронной форме, должны обеспечивать возможность идентифицировать документ и количество листов в документе.">
              <w:r>
                <w:rPr>
                  <w:sz w:val="20"/>
                  <w:color w:val="0000ff"/>
                </w:rPr>
                <w:t xml:space="preserve">2.4.4</w:t>
              </w:r>
            </w:hyperlink>
            <w:r>
              <w:rPr>
                <w:sz w:val="20"/>
              </w:rPr>
              <w:t xml:space="preserve"> настоящего Административного регламента</w:t>
            </w:r>
          </w:p>
        </w:tc>
        <w:tc>
          <w:tcPr>
            <w:tcW w:w="3402" w:type="dxa"/>
          </w:tcPr>
          <w:p>
            <w:pPr>
              <w:pStyle w:val="0"/>
            </w:pPr>
            <w:r>
              <w:rPr>
                <w:sz w:val="20"/>
              </w:rPr>
              <w:t xml:space="preserve">Указывается исчерпывающий перечень документов, поданных с нарушением указанных требований, а также нарушенные требования</w:t>
            </w:r>
          </w:p>
        </w:tc>
      </w:tr>
      <w:tr>
        <w:tc>
          <w:tcPr>
            <w:tcW w:w="1417" w:type="dxa"/>
          </w:tcPr>
          <w:p>
            <w:pPr>
              <w:pStyle w:val="0"/>
            </w:pPr>
            <w:hyperlink w:history="0" w:anchor="P168" w:tooltip="е) выявлено несоблюдение установленных статьей 11 Федерального закона &quot;Об электронной подписи&quot; условий признания квалифицированной электронной подписи действительной в документах, представленных в электронной форме;">
              <w:r>
                <w:rPr>
                  <w:sz w:val="20"/>
                  <w:color w:val="0000ff"/>
                </w:rPr>
                <w:t xml:space="preserve">Подпункт "е" пункта 2.7.3</w:t>
              </w:r>
            </w:hyperlink>
          </w:p>
        </w:tc>
        <w:tc>
          <w:tcPr>
            <w:tcW w:w="4252" w:type="dxa"/>
          </w:tcPr>
          <w:p>
            <w:pPr>
              <w:pStyle w:val="0"/>
            </w:pPr>
            <w:r>
              <w:rPr>
                <w:sz w:val="20"/>
              </w:rPr>
              <w:t xml:space="preserve">выявлено несоблюдение установленных </w:t>
            </w:r>
            <w:hyperlink w:history="0" r:id="rId42" w:tooltip="Федеральный закон от 06.04.2011 N 63-ФЗ (ред. от 31.07.2025) &quot;Об электронной подписи&quot; {КонсультантПлюс}">
              <w:r>
                <w:rPr>
                  <w:sz w:val="20"/>
                  <w:color w:val="0000ff"/>
                </w:rPr>
                <w:t xml:space="preserve">статьей 11</w:t>
              </w:r>
            </w:hyperlink>
            <w:r>
              <w:rPr>
                <w:sz w:val="20"/>
              </w:rPr>
              <w:t xml:space="preserve">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402" w:type="dxa"/>
          </w:tcPr>
          <w:p>
            <w:pPr>
              <w:pStyle w:val="0"/>
            </w:pPr>
            <w:r>
              <w:rPr>
                <w:sz w:val="20"/>
              </w:rPr>
              <w:t xml:space="preserve">Указывается исчерпывающий перечень электронных документов, не соответствующих указанному критерию</w:t>
            </w:r>
          </w:p>
        </w:tc>
      </w:tr>
      <w:tr>
        <w:tc>
          <w:tcPr>
            <w:tcW w:w="1417" w:type="dxa"/>
          </w:tcPr>
          <w:p>
            <w:pPr>
              <w:pStyle w:val="0"/>
            </w:pPr>
            <w:hyperlink w:history="0" w:anchor="P169" w:tooltip="ж) неполное заполнение полей в форме уведомления, в том числе в интерактивной форме уведомления на ЕПГУ;">
              <w:r>
                <w:rPr>
                  <w:sz w:val="20"/>
                  <w:color w:val="0000ff"/>
                </w:rPr>
                <w:t xml:space="preserve">Подпункт "ж" пункта 2.7.3</w:t>
              </w:r>
            </w:hyperlink>
          </w:p>
        </w:tc>
        <w:tc>
          <w:tcPr>
            <w:tcW w:w="4252" w:type="dxa"/>
          </w:tcPr>
          <w:p>
            <w:pPr>
              <w:pStyle w:val="0"/>
            </w:pPr>
            <w:r>
              <w:rPr>
                <w:sz w:val="20"/>
              </w:rPr>
              <w:t xml:space="preserve">неполное заполнение полей в форме уведомления, в том числе в интерактивной форме уведомления на ЕПГУ</w:t>
            </w:r>
          </w:p>
        </w:tc>
        <w:tc>
          <w:tcPr>
            <w:tcW w:w="3402" w:type="dxa"/>
          </w:tcPr>
          <w:p>
            <w:pPr>
              <w:pStyle w:val="0"/>
            </w:pPr>
            <w:r>
              <w:rPr>
                <w:sz w:val="20"/>
              </w:rPr>
              <w:t xml:space="preserve">Указывается исчерпывающий перечень полей в форме уведомлений, заполненных неполно</w:t>
            </w:r>
          </w:p>
        </w:tc>
      </w:tr>
      <w:tr>
        <w:tc>
          <w:tcPr>
            <w:tcW w:w="1417" w:type="dxa"/>
          </w:tcPr>
          <w:p>
            <w:pPr>
              <w:pStyle w:val="0"/>
            </w:pPr>
            <w:hyperlink w:history="0" w:anchor="P170" w:tooltip="з) представление неполного комплекта документов, необходимых для предоставления услуги.">
              <w:r>
                <w:rPr>
                  <w:sz w:val="20"/>
                  <w:color w:val="0000ff"/>
                </w:rPr>
                <w:t xml:space="preserve">Подпункт "з" пункта 2.7.3</w:t>
              </w:r>
            </w:hyperlink>
          </w:p>
        </w:tc>
        <w:tc>
          <w:tcPr>
            <w:tcW w:w="4252" w:type="dxa"/>
          </w:tcPr>
          <w:p>
            <w:pPr>
              <w:pStyle w:val="0"/>
            </w:pPr>
            <w:r>
              <w:rPr>
                <w:sz w:val="20"/>
              </w:rPr>
              <w:t xml:space="preserve">представление неполного комплекта документов, необходимых для предоставления услуги</w:t>
            </w:r>
          </w:p>
        </w:tc>
        <w:tc>
          <w:tcPr>
            <w:tcW w:w="3402" w:type="dxa"/>
          </w:tcPr>
          <w:p>
            <w:pPr>
              <w:pStyle w:val="0"/>
            </w:pPr>
            <w:r>
              <w:rPr>
                <w:sz w:val="20"/>
              </w:rPr>
              <w:t xml:space="preserve">Указывается исчерпывающий перечень непредставленных документов</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3119"/>
        <w:gridCol w:w="397"/>
        <w:gridCol w:w="1957"/>
        <w:gridCol w:w="397"/>
        <w:gridCol w:w="3200"/>
      </w:tblGrid>
      <w:tr>
        <w:tc>
          <w:tcPr>
            <w:gridSpan w:val="5"/>
            <w:tcW w:w="9070" w:type="dxa"/>
            <w:tcBorders>
              <w:top w:val="nil"/>
              <w:left w:val="nil"/>
              <w:bottom w:val="nil"/>
              <w:right w:val="nil"/>
            </w:tcBorders>
          </w:tcPr>
          <w:p>
            <w:pPr>
              <w:pStyle w:val="0"/>
              <w:jc w:val="both"/>
            </w:pPr>
            <w:r>
              <w:rPr>
                <w:sz w:val="20"/>
              </w:rPr>
              <w:t xml:space="preserve">Дополнительно информируем: ______________________________________________</w:t>
            </w:r>
          </w:p>
          <w:p>
            <w:pPr>
              <w:pStyle w:val="0"/>
              <w:jc w:val="both"/>
            </w:pPr>
            <w:r>
              <w:rPr>
                <w:sz w:val="20"/>
              </w:rPr>
              <w:t xml:space="preserve">_________________________________________________________________________.</w:t>
            </w:r>
          </w:p>
          <w:p>
            <w:pPr>
              <w:pStyle w:val="0"/>
              <w:jc w:val="center"/>
            </w:pPr>
            <w:r>
              <w:rPr>
                <w:sz w:val="20"/>
              </w:rPr>
              <w:t xml:space="preserve">(указывается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pPr>
              <w:pStyle w:val="0"/>
            </w:pPr>
            <w:r>
              <w:rPr>
                <w:sz w:val="20"/>
              </w:rPr>
            </w:r>
          </w:p>
          <w:p>
            <w:pPr>
              <w:pStyle w:val="0"/>
              <w:jc w:val="both"/>
            </w:pPr>
            <w:r>
              <w:rPr>
                <w:sz w:val="20"/>
              </w:rPr>
              <w:t xml:space="preserve">Приложение: _____________________________________________________________</w:t>
            </w:r>
          </w:p>
          <w:p>
            <w:pPr>
              <w:pStyle w:val="0"/>
              <w:jc w:val="both"/>
            </w:pPr>
            <w:r>
              <w:rPr>
                <w:sz w:val="20"/>
              </w:rPr>
              <w:t xml:space="preserve">_________________________________________________________________________</w:t>
            </w:r>
          </w:p>
          <w:p>
            <w:pPr>
              <w:pStyle w:val="0"/>
              <w:jc w:val="center"/>
            </w:pPr>
            <w:r>
              <w:rPr>
                <w:sz w:val="20"/>
              </w:rPr>
              <w:t xml:space="preserve">(прилагаются документы, представленные заявителем)</w:t>
            </w:r>
          </w:p>
        </w:tc>
      </w:tr>
      <w:tr>
        <w:tc>
          <w:tcPr>
            <w:tcW w:w="3119" w:type="dxa"/>
            <w:tcBorders>
              <w:top w:val="nil"/>
              <w:left w:val="nil"/>
              <w:bottom w:val="single" w:sz="4"/>
              <w:right w:val="nil"/>
            </w:tcBorders>
          </w:tcPr>
          <w:p>
            <w:pPr>
              <w:pStyle w:val="0"/>
            </w:pPr>
            <w:r>
              <w:rPr>
                <w:sz w:val="20"/>
              </w:rPr>
            </w:r>
          </w:p>
        </w:tc>
        <w:tc>
          <w:tcPr>
            <w:tcW w:w="397" w:type="dxa"/>
            <w:tcBorders>
              <w:top w:val="nil"/>
              <w:left w:val="nil"/>
              <w:bottom w:val="nil"/>
              <w:right w:val="nil"/>
            </w:tcBorders>
          </w:tcPr>
          <w:p>
            <w:pPr>
              <w:pStyle w:val="0"/>
            </w:pPr>
            <w:r>
              <w:rPr>
                <w:sz w:val="20"/>
              </w:rPr>
            </w:r>
          </w:p>
        </w:tc>
        <w:tc>
          <w:tcPr>
            <w:tcW w:w="1957" w:type="dxa"/>
            <w:tcBorders>
              <w:top w:val="nil"/>
              <w:left w:val="nil"/>
              <w:bottom w:val="single" w:sz="4"/>
              <w:right w:val="nil"/>
            </w:tcBorders>
          </w:tcPr>
          <w:p>
            <w:pPr>
              <w:pStyle w:val="0"/>
            </w:pPr>
            <w:r>
              <w:rPr>
                <w:sz w:val="20"/>
              </w:rPr>
            </w:r>
          </w:p>
        </w:tc>
        <w:tc>
          <w:tcPr>
            <w:tcW w:w="397" w:type="dxa"/>
            <w:tcBorders>
              <w:top w:val="nil"/>
              <w:left w:val="nil"/>
              <w:bottom w:val="nil"/>
              <w:right w:val="nil"/>
            </w:tcBorders>
          </w:tcPr>
          <w:p>
            <w:pPr>
              <w:pStyle w:val="0"/>
            </w:pPr>
            <w:r>
              <w:rPr>
                <w:sz w:val="20"/>
              </w:rPr>
            </w:r>
          </w:p>
        </w:tc>
        <w:tc>
          <w:tcPr>
            <w:tcW w:w="3200" w:type="dxa"/>
            <w:tcBorders>
              <w:top w:val="nil"/>
              <w:left w:val="nil"/>
              <w:bottom w:val="single" w:sz="4"/>
              <w:right w:val="nil"/>
            </w:tcBorders>
          </w:tcPr>
          <w:p>
            <w:pPr>
              <w:pStyle w:val="0"/>
            </w:pPr>
            <w:r>
              <w:rPr>
                <w:sz w:val="20"/>
              </w:rPr>
            </w:r>
          </w:p>
        </w:tc>
      </w:tr>
      <w:tr>
        <w:tc>
          <w:tcPr>
            <w:tcW w:w="3119" w:type="dxa"/>
            <w:tcBorders>
              <w:top w:val="single" w:sz="4"/>
              <w:left w:val="nil"/>
              <w:bottom w:val="nil"/>
              <w:right w:val="nil"/>
            </w:tcBorders>
          </w:tcPr>
          <w:p>
            <w:pPr>
              <w:pStyle w:val="0"/>
              <w:jc w:val="center"/>
            </w:pPr>
            <w:r>
              <w:rPr>
                <w:sz w:val="20"/>
              </w:rPr>
              <w:t xml:space="preserve">(должность)</w:t>
            </w:r>
          </w:p>
        </w:tc>
        <w:tc>
          <w:tcPr>
            <w:tcW w:w="397" w:type="dxa"/>
            <w:tcBorders>
              <w:top w:val="nil"/>
              <w:left w:val="nil"/>
              <w:bottom w:val="nil"/>
              <w:right w:val="nil"/>
            </w:tcBorders>
          </w:tcPr>
          <w:p>
            <w:pPr>
              <w:pStyle w:val="0"/>
            </w:pPr>
            <w:r>
              <w:rPr>
                <w:sz w:val="20"/>
              </w:rPr>
            </w:r>
          </w:p>
        </w:tc>
        <w:tc>
          <w:tcPr>
            <w:tcW w:w="1957" w:type="dxa"/>
            <w:tcBorders>
              <w:top w:val="single" w:sz="4"/>
              <w:left w:val="nil"/>
              <w:bottom w:val="nil"/>
              <w:right w:val="nil"/>
            </w:tcBorders>
          </w:tcPr>
          <w:p>
            <w:pPr>
              <w:pStyle w:val="0"/>
              <w:jc w:val="center"/>
            </w:pPr>
            <w:r>
              <w:rPr>
                <w:sz w:val="20"/>
              </w:rPr>
              <w:t xml:space="preserve">(подпись)</w:t>
            </w:r>
          </w:p>
        </w:tc>
        <w:tc>
          <w:tcPr>
            <w:tcW w:w="397" w:type="dxa"/>
            <w:tcBorders>
              <w:top w:val="nil"/>
              <w:left w:val="nil"/>
              <w:bottom w:val="nil"/>
              <w:right w:val="nil"/>
            </w:tcBorders>
          </w:tcPr>
          <w:p>
            <w:pPr>
              <w:pStyle w:val="0"/>
            </w:pPr>
            <w:r>
              <w:rPr>
                <w:sz w:val="20"/>
              </w:rPr>
            </w:r>
          </w:p>
        </w:tc>
        <w:tc>
          <w:tcPr>
            <w:tcW w:w="3200" w:type="dxa"/>
            <w:tcBorders>
              <w:top w:val="single" w:sz="4"/>
              <w:left w:val="nil"/>
              <w:bottom w:val="nil"/>
              <w:right w:val="nil"/>
            </w:tcBorders>
          </w:tcPr>
          <w:p>
            <w:pPr>
              <w:pStyle w:val="0"/>
              <w:jc w:val="center"/>
            </w:pPr>
            <w:r>
              <w:rPr>
                <w:sz w:val="20"/>
              </w:rPr>
              <w:t xml:space="preserve">(фамилия, имя, отчество (при наличии))</w:t>
            </w:r>
          </w:p>
        </w:tc>
      </w:tr>
      <w:tr>
        <w:tc>
          <w:tcPr>
            <w:gridSpan w:val="5"/>
            <w:tcW w:w="9070" w:type="dxa"/>
            <w:tcBorders>
              <w:top w:val="nil"/>
              <w:left w:val="nil"/>
              <w:bottom w:val="nil"/>
              <w:right w:val="nil"/>
            </w:tcBorders>
          </w:tcPr>
          <w:p>
            <w:pPr>
              <w:pStyle w:val="0"/>
              <w:jc w:val="both"/>
            </w:pPr>
            <w:r>
              <w:rPr>
                <w:sz w:val="20"/>
              </w:rPr>
              <w:t xml:space="preserve">Дата</w:t>
            </w:r>
          </w:p>
          <w:p>
            <w:pPr>
              <w:pStyle w:val="0"/>
            </w:pPr>
            <w:r>
              <w:rPr>
                <w:sz w:val="20"/>
              </w:rPr>
            </w:r>
          </w:p>
          <w:p>
            <w:pPr>
              <w:pStyle w:val="0"/>
              <w:ind w:firstLine="283"/>
              <w:jc w:val="both"/>
            </w:pPr>
            <w:r>
              <w:rPr>
                <w:sz w:val="20"/>
              </w:rPr>
              <w:t xml:space="preserve">--------------------------------</w:t>
            </w:r>
          </w:p>
          <w:p>
            <w:pPr>
              <w:pStyle w:val="0"/>
              <w:ind w:firstLine="283"/>
              <w:jc w:val="both"/>
            </w:pPr>
            <w:r>
              <w:rPr>
                <w:sz w:val="20"/>
              </w:rPr>
              <w:t xml:space="preserve">&lt;*&gt; Сведения об ИНН в отношении иностранного юридического лица не указываются.</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both"/>
      </w:pPr>
      <w:r>
        <w:rPr>
          <w:sz w:val="20"/>
        </w:rPr>
      </w:r>
    </w:p>
    <w:p>
      <w:pPr>
        <w:pStyle w:val="0"/>
        <w:jc w:val="right"/>
      </w:pPr>
      <w:r>
        <w:rPr>
          <w:sz w:val="20"/>
        </w:rPr>
        <w:t xml:space="preserve">Приложение N 1</w:t>
      </w:r>
    </w:p>
    <w:p>
      <w:pPr>
        <w:pStyle w:val="0"/>
        <w:jc w:val="right"/>
      </w:pPr>
      <w:r>
        <w:rPr>
          <w:sz w:val="20"/>
        </w:rPr>
        <w:t xml:space="preserve">к приказу</w:t>
      </w:r>
    </w:p>
    <w:p>
      <w:pPr>
        <w:pStyle w:val="0"/>
        <w:jc w:val="right"/>
      </w:pPr>
      <w:r>
        <w:rPr>
          <w:sz w:val="20"/>
        </w:rPr>
        <w:t xml:space="preserve">Министерства строительства</w:t>
      </w:r>
    </w:p>
    <w:p>
      <w:pPr>
        <w:pStyle w:val="0"/>
        <w:jc w:val="right"/>
      </w:pPr>
      <w:r>
        <w:rPr>
          <w:sz w:val="20"/>
        </w:rPr>
        <w:t xml:space="preserve">и жилищно-коммунального хозяйства</w:t>
      </w:r>
    </w:p>
    <w:p>
      <w:pPr>
        <w:pStyle w:val="0"/>
        <w:jc w:val="right"/>
      </w:pPr>
      <w:r>
        <w:rPr>
          <w:sz w:val="20"/>
        </w:rPr>
        <w:t xml:space="preserve">Российской Федерации</w:t>
      </w:r>
    </w:p>
    <w:p>
      <w:pPr>
        <w:pStyle w:val="0"/>
        <w:jc w:val="right"/>
      </w:pPr>
      <w:r>
        <w:rPr>
          <w:sz w:val="20"/>
        </w:rPr>
        <w:t xml:space="preserve">от 24 января 2019 г. N 34/пр</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43" w:tooltip="Постановление администрации Афанасьевского муниципального округа Кировской области от 27.07.2023 N 442 &quot;О внесении изменений в постановление администрации Афанасьевского муниципального округа Кировской области от 17.02.2023 N 88&quot; (вместе с &quot;Уведомлением о планируемом сносе объекта капитального строительства&quot;, &quot;Уведомлением о завершении сноса объекта капитального строительства&quot;) {КонсультантПлюс}">
              <w:r>
                <w:rPr>
                  <w:sz w:val="20"/>
                  <w:color w:val="0000ff"/>
                </w:rPr>
                <w:t xml:space="preserve">постановлением</w:t>
              </w:r>
            </w:hyperlink>
            <w:r>
              <w:rPr>
                <w:sz w:val="20"/>
                <w:color w:val="392c69"/>
              </w:rPr>
              <w:t xml:space="preserve"> администрации Афанасьевского муниципального округа</w:t>
            </w:r>
          </w:p>
          <w:p>
            <w:pPr>
              <w:pStyle w:val="0"/>
              <w:jc w:val="center"/>
            </w:pPr>
            <w:r>
              <w:rPr>
                <w:sz w:val="20"/>
                <w:color w:val="392c69"/>
              </w:rPr>
              <w:t xml:space="preserve">Кировской области от 27.07.2023 N 442)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center"/>
      </w:pPr>
      <w:r>
        <w:rPr>
          <w:sz w:val="20"/>
        </w:rPr>
        <w:t xml:space="preserve">ФОРМА</w:t>
      </w:r>
    </w:p>
    <w:p>
      <w:pPr>
        <w:pStyle w:val="0"/>
        <w:jc w:val="center"/>
      </w:pPr>
      <w:r>
        <w:rPr>
          <w:sz w:val="20"/>
        </w:rPr>
      </w:r>
    </w:p>
    <w:p>
      <w:pPr>
        <w:pStyle w:val="0"/>
        <w:jc w:val="center"/>
      </w:pPr>
      <w:r>
        <w:rPr>
          <w:sz w:val="20"/>
        </w:rPr>
        <w:t xml:space="preserve">Уведомление о планируемом сносе объекта</w:t>
      </w:r>
    </w:p>
    <w:p>
      <w:pPr>
        <w:pStyle w:val="0"/>
        <w:jc w:val="center"/>
      </w:pPr>
      <w:r>
        <w:rPr>
          <w:sz w:val="20"/>
        </w:rPr>
        <w:t xml:space="preserve">капитального строительства</w:t>
      </w:r>
    </w:p>
    <w:p>
      <w:pPr>
        <w:pStyle w:val="0"/>
        <w:jc w:val="both"/>
      </w:pPr>
      <w:r>
        <w:rPr>
          <w:sz w:val="20"/>
        </w:rPr>
      </w:r>
    </w:p>
    <w:p>
      <w:pPr>
        <w:pStyle w:val="0"/>
        <w:jc w:val="right"/>
      </w:pPr>
      <w:r>
        <w:rPr>
          <w:sz w:val="20"/>
        </w:rPr>
        <w:t xml:space="preserve">"___" ________ 20__ г.</w:t>
      </w:r>
    </w:p>
    <w:p>
      <w:pPr>
        <w:pStyle w:val="0"/>
        <w:jc w:val="both"/>
      </w:pPr>
      <w:r>
        <w:rPr>
          <w:sz w:val="20"/>
        </w:rPr>
      </w:r>
    </w:p>
    <w:p>
      <w:pPr>
        <w:pStyle w:val="0"/>
        <w:jc w:val="center"/>
      </w:pPr>
      <w:r>
        <w:rPr>
          <w:sz w:val="20"/>
        </w:rPr>
        <w:t xml:space="preserve">____________________________________________________________</w:t>
      </w:r>
    </w:p>
    <w:p>
      <w:pPr>
        <w:pStyle w:val="0"/>
        <w:jc w:val="center"/>
      </w:pPr>
      <w:r>
        <w:rPr>
          <w:sz w:val="20"/>
        </w:rPr>
        <w:t xml:space="preserve">(наименование органа местного самоуправления поселения,</w:t>
      </w:r>
    </w:p>
    <w:p>
      <w:pPr>
        <w:pStyle w:val="0"/>
        <w:jc w:val="center"/>
      </w:pPr>
      <w:r>
        <w:rPr>
          <w:sz w:val="20"/>
        </w:rPr>
        <w:t xml:space="preserve">городского округа по месту нахождения объекта капитального</w:t>
      </w:r>
    </w:p>
    <w:p>
      <w:pPr>
        <w:pStyle w:val="0"/>
        <w:jc w:val="center"/>
      </w:pPr>
      <w:r>
        <w:rPr>
          <w:sz w:val="20"/>
        </w:rPr>
        <w:t xml:space="preserve">строительства или в случае, если объект капитального</w:t>
      </w:r>
    </w:p>
    <w:p>
      <w:pPr>
        <w:pStyle w:val="0"/>
        <w:jc w:val="center"/>
      </w:pPr>
      <w:r>
        <w:rPr>
          <w:sz w:val="20"/>
        </w:rPr>
        <w:t xml:space="preserve">строительства расположен на межселенной территории, органа</w:t>
      </w:r>
    </w:p>
    <w:p>
      <w:pPr>
        <w:pStyle w:val="0"/>
        <w:jc w:val="center"/>
      </w:pPr>
      <w:r>
        <w:rPr>
          <w:sz w:val="20"/>
        </w:rPr>
        <w:t xml:space="preserve">местного самоуправления муниципального района)</w:t>
      </w:r>
    </w:p>
    <w:p>
      <w:pPr>
        <w:pStyle w:val="0"/>
        <w:jc w:val="both"/>
      </w:pPr>
      <w:r>
        <w:rPr>
          <w:sz w:val="20"/>
        </w:rPr>
      </w:r>
    </w:p>
    <w:p>
      <w:pPr>
        <w:pStyle w:val="0"/>
        <w:jc w:val="center"/>
      </w:pPr>
      <w:r>
        <w:rPr>
          <w:sz w:val="20"/>
        </w:rPr>
        <w:t xml:space="preserve">1. Сведения о застройщике, техническом заказчике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1"/>
        <w:gridCol w:w="4252"/>
        <w:gridCol w:w="3969"/>
      </w:tblGrid>
      <w:tr>
        <w:tc>
          <w:tcPr>
            <w:tcW w:w="851" w:type="dxa"/>
          </w:tcPr>
          <w:p>
            <w:pPr>
              <w:pStyle w:val="0"/>
            </w:pPr>
            <w:r>
              <w:rPr>
                <w:sz w:val="20"/>
              </w:rPr>
              <w:t xml:space="preserve">1.1.</w:t>
            </w:r>
          </w:p>
        </w:tc>
        <w:tc>
          <w:tcPr>
            <w:tcW w:w="4252" w:type="dxa"/>
          </w:tcPr>
          <w:p>
            <w:pPr>
              <w:pStyle w:val="0"/>
              <w:jc w:val="both"/>
            </w:pPr>
            <w:r>
              <w:rPr>
                <w:sz w:val="20"/>
              </w:rPr>
              <w:t xml:space="preserve">Сведения о физическом лице, в случае если застройщиком является физическое лицо:</w:t>
            </w:r>
          </w:p>
        </w:tc>
        <w:tc>
          <w:tcPr>
            <w:tcW w:w="3969" w:type="dxa"/>
          </w:tcPr>
          <w:p>
            <w:pPr>
              <w:pStyle w:val="0"/>
            </w:pPr>
            <w:r>
              <w:rPr>
                <w:sz w:val="20"/>
              </w:rPr>
            </w:r>
          </w:p>
        </w:tc>
      </w:tr>
      <w:tr>
        <w:tc>
          <w:tcPr>
            <w:tcW w:w="851" w:type="dxa"/>
          </w:tcPr>
          <w:p>
            <w:pPr>
              <w:pStyle w:val="0"/>
            </w:pPr>
            <w:r>
              <w:rPr>
                <w:sz w:val="20"/>
              </w:rPr>
              <w:t xml:space="preserve">1.1.1.</w:t>
            </w:r>
          </w:p>
        </w:tc>
        <w:tc>
          <w:tcPr>
            <w:tcW w:w="4252" w:type="dxa"/>
          </w:tcPr>
          <w:p>
            <w:pPr>
              <w:pStyle w:val="0"/>
              <w:jc w:val="both"/>
            </w:pPr>
            <w:r>
              <w:rPr>
                <w:sz w:val="20"/>
              </w:rPr>
              <w:t xml:space="preserve">Фамилия, имя, отчество (при наличии)</w:t>
            </w:r>
          </w:p>
        </w:tc>
        <w:tc>
          <w:tcPr>
            <w:tcW w:w="3969" w:type="dxa"/>
          </w:tcPr>
          <w:p>
            <w:pPr>
              <w:pStyle w:val="0"/>
            </w:pPr>
            <w:r>
              <w:rPr>
                <w:sz w:val="20"/>
              </w:rPr>
            </w:r>
          </w:p>
        </w:tc>
      </w:tr>
      <w:tr>
        <w:tc>
          <w:tcPr>
            <w:tcW w:w="851" w:type="dxa"/>
          </w:tcPr>
          <w:p>
            <w:pPr>
              <w:pStyle w:val="0"/>
            </w:pPr>
            <w:r>
              <w:rPr>
                <w:sz w:val="20"/>
              </w:rPr>
              <w:t xml:space="preserve">1.1.2.</w:t>
            </w:r>
          </w:p>
        </w:tc>
        <w:tc>
          <w:tcPr>
            <w:tcW w:w="4252" w:type="dxa"/>
          </w:tcPr>
          <w:p>
            <w:pPr>
              <w:pStyle w:val="0"/>
              <w:jc w:val="both"/>
            </w:pPr>
            <w:r>
              <w:rPr>
                <w:sz w:val="20"/>
              </w:rPr>
              <w:t xml:space="preserve">Место жительства</w:t>
            </w:r>
          </w:p>
        </w:tc>
        <w:tc>
          <w:tcPr>
            <w:tcW w:w="3969" w:type="dxa"/>
          </w:tcPr>
          <w:p>
            <w:pPr>
              <w:pStyle w:val="0"/>
            </w:pPr>
            <w:r>
              <w:rPr>
                <w:sz w:val="20"/>
              </w:rPr>
            </w:r>
          </w:p>
        </w:tc>
      </w:tr>
      <w:tr>
        <w:tc>
          <w:tcPr>
            <w:tcW w:w="851" w:type="dxa"/>
          </w:tcPr>
          <w:p>
            <w:pPr>
              <w:pStyle w:val="0"/>
            </w:pPr>
            <w:r>
              <w:rPr>
                <w:sz w:val="20"/>
              </w:rPr>
              <w:t xml:space="preserve">1.1.3.</w:t>
            </w:r>
          </w:p>
        </w:tc>
        <w:tc>
          <w:tcPr>
            <w:tcW w:w="4252" w:type="dxa"/>
          </w:tcPr>
          <w:p>
            <w:pPr>
              <w:pStyle w:val="0"/>
              <w:jc w:val="both"/>
            </w:pPr>
            <w:r>
              <w:rPr>
                <w:sz w:val="20"/>
              </w:rPr>
              <w:t xml:space="preserve">Реквизиты документа, удостоверяющего личность</w:t>
            </w:r>
          </w:p>
        </w:tc>
        <w:tc>
          <w:tcPr>
            <w:tcW w:w="3969" w:type="dxa"/>
          </w:tcPr>
          <w:p>
            <w:pPr>
              <w:pStyle w:val="0"/>
            </w:pPr>
            <w:r>
              <w:rPr>
                <w:sz w:val="20"/>
              </w:rPr>
            </w:r>
          </w:p>
        </w:tc>
      </w:tr>
      <w:tr>
        <w:tc>
          <w:tcPr>
            <w:tcW w:w="851" w:type="dxa"/>
          </w:tcPr>
          <w:p>
            <w:pPr>
              <w:pStyle w:val="0"/>
            </w:pPr>
            <w:r>
              <w:rPr>
                <w:sz w:val="20"/>
              </w:rPr>
              <w:t xml:space="preserve">1.2.</w:t>
            </w:r>
          </w:p>
        </w:tc>
        <w:tc>
          <w:tcPr>
            <w:tcW w:w="4252" w:type="dxa"/>
          </w:tcPr>
          <w:p>
            <w:pPr>
              <w:pStyle w:val="0"/>
              <w:jc w:val="both"/>
            </w:pPr>
            <w:r>
              <w:rPr>
                <w:sz w:val="20"/>
              </w:rPr>
              <w:t xml:space="preserve">Сведения о юридическом лице, в случае если застройщиком или техническим заказчиком является юридическое лицо:</w:t>
            </w:r>
          </w:p>
        </w:tc>
        <w:tc>
          <w:tcPr>
            <w:tcW w:w="3969" w:type="dxa"/>
          </w:tcPr>
          <w:p>
            <w:pPr>
              <w:pStyle w:val="0"/>
            </w:pPr>
            <w:r>
              <w:rPr>
                <w:sz w:val="20"/>
              </w:rPr>
            </w:r>
          </w:p>
        </w:tc>
      </w:tr>
      <w:tr>
        <w:tc>
          <w:tcPr>
            <w:tcW w:w="851" w:type="dxa"/>
          </w:tcPr>
          <w:p>
            <w:pPr>
              <w:pStyle w:val="0"/>
            </w:pPr>
            <w:r>
              <w:rPr>
                <w:sz w:val="20"/>
              </w:rPr>
              <w:t xml:space="preserve">1.2.1.</w:t>
            </w:r>
          </w:p>
        </w:tc>
        <w:tc>
          <w:tcPr>
            <w:tcW w:w="4252" w:type="dxa"/>
          </w:tcPr>
          <w:p>
            <w:pPr>
              <w:pStyle w:val="0"/>
              <w:jc w:val="both"/>
            </w:pPr>
            <w:r>
              <w:rPr>
                <w:sz w:val="20"/>
              </w:rPr>
              <w:t xml:space="preserve">Наименование</w:t>
            </w:r>
          </w:p>
        </w:tc>
        <w:tc>
          <w:tcPr>
            <w:tcW w:w="3969" w:type="dxa"/>
          </w:tcPr>
          <w:p>
            <w:pPr>
              <w:pStyle w:val="0"/>
            </w:pPr>
            <w:r>
              <w:rPr>
                <w:sz w:val="20"/>
              </w:rPr>
            </w:r>
          </w:p>
        </w:tc>
      </w:tr>
      <w:tr>
        <w:tc>
          <w:tcPr>
            <w:tcW w:w="851" w:type="dxa"/>
          </w:tcPr>
          <w:p>
            <w:pPr>
              <w:pStyle w:val="0"/>
            </w:pPr>
            <w:r>
              <w:rPr>
                <w:sz w:val="20"/>
              </w:rPr>
              <w:t xml:space="preserve">1.2.2.</w:t>
            </w:r>
          </w:p>
        </w:tc>
        <w:tc>
          <w:tcPr>
            <w:tcW w:w="4252" w:type="dxa"/>
          </w:tcPr>
          <w:p>
            <w:pPr>
              <w:pStyle w:val="0"/>
              <w:jc w:val="both"/>
            </w:pPr>
            <w:r>
              <w:rPr>
                <w:sz w:val="20"/>
              </w:rPr>
              <w:t xml:space="preserve">Место нахождения</w:t>
            </w:r>
          </w:p>
        </w:tc>
        <w:tc>
          <w:tcPr>
            <w:tcW w:w="3969" w:type="dxa"/>
          </w:tcPr>
          <w:p>
            <w:pPr>
              <w:pStyle w:val="0"/>
            </w:pPr>
            <w:r>
              <w:rPr>
                <w:sz w:val="20"/>
              </w:rPr>
            </w:r>
          </w:p>
        </w:tc>
      </w:tr>
      <w:tr>
        <w:tc>
          <w:tcPr>
            <w:tcW w:w="851" w:type="dxa"/>
          </w:tcPr>
          <w:p>
            <w:pPr>
              <w:pStyle w:val="0"/>
            </w:pPr>
            <w:r>
              <w:rPr>
                <w:sz w:val="20"/>
              </w:rPr>
              <w:t xml:space="preserve">1.2.3.</w:t>
            </w:r>
          </w:p>
        </w:tc>
        <w:tc>
          <w:tcPr>
            <w:tcW w:w="4252" w:type="dxa"/>
          </w:tcPr>
          <w:p>
            <w:pPr>
              <w:pStyle w:val="0"/>
              <w:jc w:val="both"/>
            </w:pPr>
            <w:r>
              <w:rPr>
                <w:sz w:val="20"/>
              </w:rPr>
              <w:t xml:space="preserve">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3969" w:type="dxa"/>
          </w:tcPr>
          <w:p>
            <w:pPr>
              <w:pStyle w:val="0"/>
            </w:pPr>
            <w:r>
              <w:rPr>
                <w:sz w:val="20"/>
              </w:rPr>
            </w:r>
          </w:p>
        </w:tc>
      </w:tr>
      <w:tr>
        <w:tc>
          <w:tcPr>
            <w:tcW w:w="851" w:type="dxa"/>
          </w:tcPr>
          <w:p>
            <w:pPr>
              <w:pStyle w:val="0"/>
            </w:pPr>
            <w:r>
              <w:rPr>
                <w:sz w:val="20"/>
              </w:rPr>
              <w:t xml:space="preserve">1.2.4.</w:t>
            </w:r>
          </w:p>
        </w:tc>
        <w:tc>
          <w:tcPr>
            <w:tcW w:w="4252" w:type="dxa"/>
          </w:tcPr>
          <w:p>
            <w:pPr>
              <w:pStyle w:val="0"/>
              <w:jc w:val="both"/>
            </w:pPr>
            <w:r>
              <w:rPr>
                <w:sz w:val="20"/>
              </w:rPr>
              <w:t xml:space="preserve">Идентификационный номер налогоплательщика, за исключением случая, если заявителем является иностранное юридическое лицо</w:t>
            </w:r>
          </w:p>
        </w:tc>
        <w:tc>
          <w:tcPr>
            <w:tcW w:w="3969" w:type="dxa"/>
          </w:tcPr>
          <w:p>
            <w:pPr>
              <w:pStyle w:val="0"/>
            </w:pPr>
            <w:r>
              <w:rPr>
                <w:sz w:val="20"/>
              </w:rPr>
            </w:r>
          </w:p>
        </w:tc>
      </w:tr>
    </w:tbl>
    <w:p>
      <w:pPr>
        <w:pStyle w:val="0"/>
        <w:jc w:val="both"/>
      </w:pPr>
      <w:r>
        <w:rPr>
          <w:sz w:val="20"/>
        </w:rPr>
      </w:r>
    </w:p>
    <w:p>
      <w:pPr>
        <w:pStyle w:val="0"/>
        <w:jc w:val="center"/>
      </w:pPr>
      <w:r>
        <w:rPr>
          <w:sz w:val="20"/>
        </w:rPr>
        <w:t xml:space="preserve">2. Сведения о земельном участке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1"/>
        <w:gridCol w:w="4252"/>
        <w:gridCol w:w="3969"/>
      </w:tblGrid>
      <w:tr>
        <w:tc>
          <w:tcPr>
            <w:tcW w:w="851" w:type="dxa"/>
          </w:tcPr>
          <w:p>
            <w:pPr>
              <w:pStyle w:val="0"/>
            </w:pPr>
            <w:r>
              <w:rPr>
                <w:sz w:val="20"/>
              </w:rPr>
              <w:t xml:space="preserve">2.1.</w:t>
            </w:r>
          </w:p>
        </w:tc>
        <w:tc>
          <w:tcPr>
            <w:tcW w:w="4252" w:type="dxa"/>
          </w:tcPr>
          <w:p>
            <w:pPr>
              <w:pStyle w:val="0"/>
              <w:jc w:val="both"/>
            </w:pPr>
            <w:r>
              <w:rPr>
                <w:sz w:val="20"/>
              </w:rPr>
              <w:t xml:space="preserve">Кадастровый номер земельного участка (при наличии)</w:t>
            </w:r>
          </w:p>
        </w:tc>
        <w:tc>
          <w:tcPr>
            <w:tcW w:w="3969" w:type="dxa"/>
          </w:tcPr>
          <w:p>
            <w:pPr>
              <w:pStyle w:val="0"/>
            </w:pPr>
            <w:r>
              <w:rPr>
                <w:sz w:val="20"/>
              </w:rPr>
            </w:r>
          </w:p>
        </w:tc>
      </w:tr>
      <w:tr>
        <w:tc>
          <w:tcPr>
            <w:tcW w:w="851" w:type="dxa"/>
          </w:tcPr>
          <w:p>
            <w:pPr>
              <w:pStyle w:val="0"/>
            </w:pPr>
            <w:r>
              <w:rPr>
                <w:sz w:val="20"/>
              </w:rPr>
              <w:t xml:space="preserve">2.2.</w:t>
            </w:r>
          </w:p>
        </w:tc>
        <w:tc>
          <w:tcPr>
            <w:tcW w:w="4252" w:type="dxa"/>
          </w:tcPr>
          <w:p>
            <w:pPr>
              <w:pStyle w:val="0"/>
              <w:jc w:val="both"/>
            </w:pPr>
            <w:r>
              <w:rPr>
                <w:sz w:val="20"/>
              </w:rPr>
              <w:t xml:space="preserve">Адрес или описание местоположения земельного участка</w:t>
            </w:r>
          </w:p>
        </w:tc>
        <w:tc>
          <w:tcPr>
            <w:tcW w:w="3969" w:type="dxa"/>
          </w:tcPr>
          <w:p>
            <w:pPr>
              <w:pStyle w:val="0"/>
            </w:pPr>
            <w:r>
              <w:rPr>
                <w:sz w:val="20"/>
              </w:rPr>
            </w:r>
          </w:p>
        </w:tc>
      </w:tr>
      <w:tr>
        <w:tc>
          <w:tcPr>
            <w:tcW w:w="851" w:type="dxa"/>
          </w:tcPr>
          <w:p>
            <w:pPr>
              <w:pStyle w:val="0"/>
            </w:pPr>
            <w:r>
              <w:rPr>
                <w:sz w:val="20"/>
              </w:rPr>
              <w:t xml:space="preserve">2.3.</w:t>
            </w:r>
          </w:p>
        </w:tc>
        <w:tc>
          <w:tcPr>
            <w:tcW w:w="4252" w:type="dxa"/>
          </w:tcPr>
          <w:p>
            <w:pPr>
              <w:pStyle w:val="0"/>
              <w:jc w:val="both"/>
            </w:pPr>
            <w:r>
              <w:rPr>
                <w:sz w:val="20"/>
              </w:rPr>
              <w:t xml:space="preserve">Сведения о праве застройщика на земельный участок (правоустанавливающие документы)</w:t>
            </w:r>
          </w:p>
        </w:tc>
        <w:tc>
          <w:tcPr>
            <w:tcW w:w="3969" w:type="dxa"/>
          </w:tcPr>
          <w:p>
            <w:pPr>
              <w:pStyle w:val="0"/>
            </w:pPr>
            <w:r>
              <w:rPr>
                <w:sz w:val="20"/>
              </w:rPr>
            </w:r>
          </w:p>
        </w:tc>
      </w:tr>
      <w:tr>
        <w:tc>
          <w:tcPr>
            <w:tcW w:w="851" w:type="dxa"/>
          </w:tcPr>
          <w:p>
            <w:pPr>
              <w:pStyle w:val="0"/>
            </w:pPr>
            <w:r>
              <w:rPr>
                <w:sz w:val="20"/>
              </w:rPr>
              <w:t xml:space="preserve">2.4.</w:t>
            </w:r>
          </w:p>
        </w:tc>
        <w:tc>
          <w:tcPr>
            <w:tcW w:w="4252" w:type="dxa"/>
          </w:tcPr>
          <w:p>
            <w:pPr>
              <w:pStyle w:val="0"/>
              <w:jc w:val="both"/>
            </w:pPr>
            <w:r>
              <w:rPr>
                <w:sz w:val="20"/>
              </w:rPr>
              <w:t xml:space="preserve">Сведения о наличии прав иных лиц на земельный участок (при наличии таких лиц)</w:t>
            </w:r>
          </w:p>
        </w:tc>
        <w:tc>
          <w:tcPr>
            <w:tcW w:w="3969" w:type="dxa"/>
          </w:tcPr>
          <w:p>
            <w:pPr>
              <w:pStyle w:val="0"/>
            </w:pPr>
            <w:r>
              <w:rPr>
                <w:sz w:val="20"/>
              </w:rPr>
            </w:r>
          </w:p>
        </w:tc>
      </w:tr>
    </w:tbl>
    <w:p>
      <w:pPr>
        <w:pStyle w:val="0"/>
        <w:jc w:val="both"/>
      </w:pPr>
      <w:r>
        <w:rPr>
          <w:sz w:val="20"/>
        </w:rPr>
      </w:r>
    </w:p>
    <w:p>
      <w:pPr>
        <w:pStyle w:val="0"/>
        <w:jc w:val="center"/>
      </w:pPr>
      <w:r>
        <w:rPr>
          <w:sz w:val="20"/>
        </w:rPr>
        <w:t xml:space="preserve">3. Сведения об объекте капитального строительства,</w:t>
      </w:r>
    </w:p>
    <w:p>
      <w:pPr>
        <w:pStyle w:val="0"/>
        <w:jc w:val="center"/>
      </w:pPr>
      <w:r>
        <w:rPr>
          <w:sz w:val="20"/>
        </w:rPr>
        <w:t xml:space="preserve">подлежащем сносу</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1"/>
        <w:gridCol w:w="4252"/>
        <w:gridCol w:w="3969"/>
      </w:tblGrid>
      <w:tr>
        <w:tc>
          <w:tcPr>
            <w:tcW w:w="851" w:type="dxa"/>
          </w:tcPr>
          <w:p>
            <w:pPr>
              <w:pStyle w:val="0"/>
            </w:pPr>
            <w:r>
              <w:rPr>
                <w:sz w:val="20"/>
              </w:rPr>
              <w:t xml:space="preserve">3.1.</w:t>
            </w:r>
          </w:p>
        </w:tc>
        <w:tc>
          <w:tcPr>
            <w:tcW w:w="4252" w:type="dxa"/>
          </w:tcPr>
          <w:p>
            <w:pPr>
              <w:pStyle w:val="0"/>
              <w:jc w:val="both"/>
            </w:pPr>
            <w:r>
              <w:rPr>
                <w:sz w:val="20"/>
              </w:rPr>
              <w:t xml:space="preserve">Кадастровый номер объекта капитального строительства (при наличии)</w:t>
            </w:r>
          </w:p>
        </w:tc>
        <w:tc>
          <w:tcPr>
            <w:tcW w:w="3969" w:type="dxa"/>
          </w:tcPr>
          <w:p>
            <w:pPr>
              <w:pStyle w:val="0"/>
            </w:pPr>
            <w:r>
              <w:rPr>
                <w:sz w:val="20"/>
              </w:rPr>
            </w:r>
          </w:p>
        </w:tc>
      </w:tr>
      <w:tr>
        <w:tc>
          <w:tcPr>
            <w:tcW w:w="851" w:type="dxa"/>
          </w:tcPr>
          <w:p>
            <w:pPr>
              <w:pStyle w:val="0"/>
            </w:pPr>
            <w:r>
              <w:rPr>
                <w:sz w:val="20"/>
              </w:rPr>
              <w:t xml:space="preserve">3.2.</w:t>
            </w:r>
          </w:p>
        </w:tc>
        <w:tc>
          <w:tcPr>
            <w:tcW w:w="4252" w:type="dxa"/>
          </w:tcPr>
          <w:p>
            <w:pPr>
              <w:pStyle w:val="0"/>
              <w:jc w:val="both"/>
            </w:pPr>
            <w:r>
              <w:rPr>
                <w:sz w:val="20"/>
              </w:rPr>
              <w:t xml:space="preserve">Сведения о праве застройщика на объект капитального строительства (правоустанавливающие документы)</w:t>
            </w:r>
          </w:p>
        </w:tc>
        <w:tc>
          <w:tcPr>
            <w:tcW w:w="3969" w:type="dxa"/>
          </w:tcPr>
          <w:p>
            <w:pPr>
              <w:pStyle w:val="0"/>
            </w:pPr>
            <w:r>
              <w:rPr>
                <w:sz w:val="20"/>
              </w:rPr>
            </w:r>
          </w:p>
        </w:tc>
      </w:tr>
      <w:tr>
        <w:tc>
          <w:tcPr>
            <w:tcW w:w="851" w:type="dxa"/>
          </w:tcPr>
          <w:p>
            <w:pPr>
              <w:pStyle w:val="0"/>
            </w:pPr>
            <w:r>
              <w:rPr>
                <w:sz w:val="20"/>
              </w:rPr>
              <w:t xml:space="preserve">3.3.</w:t>
            </w:r>
          </w:p>
        </w:tc>
        <w:tc>
          <w:tcPr>
            <w:tcW w:w="4252" w:type="dxa"/>
          </w:tcPr>
          <w:p>
            <w:pPr>
              <w:pStyle w:val="0"/>
              <w:jc w:val="both"/>
            </w:pPr>
            <w:r>
              <w:rPr>
                <w:sz w:val="20"/>
              </w:rPr>
              <w:t xml:space="preserve">Сведения о наличии прав иных лиц на объект капитального строительства (при наличии таких лиц)</w:t>
            </w:r>
          </w:p>
        </w:tc>
        <w:tc>
          <w:tcPr>
            <w:tcW w:w="3969" w:type="dxa"/>
          </w:tcPr>
          <w:p>
            <w:pPr>
              <w:pStyle w:val="0"/>
            </w:pPr>
            <w:r>
              <w:rPr>
                <w:sz w:val="20"/>
              </w:rPr>
            </w:r>
          </w:p>
        </w:tc>
      </w:tr>
      <w:tr>
        <w:tc>
          <w:tcPr>
            <w:tcW w:w="851" w:type="dxa"/>
          </w:tcPr>
          <w:p>
            <w:pPr>
              <w:pStyle w:val="0"/>
            </w:pPr>
            <w:r>
              <w:rPr>
                <w:sz w:val="20"/>
              </w:rPr>
              <w:t xml:space="preserve">3.4.</w:t>
            </w:r>
          </w:p>
        </w:tc>
        <w:tc>
          <w:tcPr>
            <w:tcW w:w="4252" w:type="dxa"/>
          </w:tcPr>
          <w:p>
            <w:pPr>
              <w:pStyle w:val="0"/>
              <w:jc w:val="both"/>
            </w:pPr>
            <w:r>
              <w:rPr>
                <w:sz w:val="20"/>
              </w:rPr>
              <w:t xml:space="preserve">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таких решения либо обязательства)</w:t>
            </w:r>
          </w:p>
        </w:tc>
        <w:tc>
          <w:tcPr>
            <w:tcW w:w="3969"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2263"/>
        <w:gridCol w:w="1649"/>
        <w:gridCol w:w="397"/>
        <w:gridCol w:w="1644"/>
        <w:gridCol w:w="397"/>
        <w:gridCol w:w="2721"/>
      </w:tblGrid>
      <w:tr>
        <w:tc>
          <w:tcPr>
            <w:gridSpan w:val="6"/>
            <w:tcW w:w="9071" w:type="dxa"/>
            <w:tcBorders>
              <w:top w:val="nil"/>
              <w:left w:val="nil"/>
              <w:bottom w:val="nil"/>
              <w:right w:val="nil"/>
            </w:tcBorders>
          </w:tcPr>
          <w:p>
            <w:pPr>
              <w:pStyle w:val="0"/>
              <w:jc w:val="both"/>
            </w:pPr>
            <w:r>
              <w:rPr>
                <w:sz w:val="20"/>
              </w:rPr>
              <w:t xml:space="preserve">Почтовый адрес и (или) адрес электронной почты для связи: _____________________</w:t>
            </w:r>
          </w:p>
          <w:p>
            <w:pPr>
              <w:pStyle w:val="0"/>
              <w:jc w:val="both"/>
            </w:pPr>
            <w:r>
              <w:rPr>
                <w:sz w:val="20"/>
              </w:rPr>
              <w:t xml:space="preserve">_________________________________________________________________________</w:t>
            </w:r>
          </w:p>
          <w:p>
            <w:pPr>
              <w:pStyle w:val="0"/>
              <w:jc w:val="both"/>
            </w:pPr>
            <w:r>
              <w:rPr>
                <w:sz w:val="20"/>
              </w:rPr>
              <w:t xml:space="preserve">Настоящим уведомлением я,</w:t>
            </w:r>
          </w:p>
          <w:p>
            <w:pPr>
              <w:pStyle w:val="0"/>
              <w:jc w:val="both"/>
            </w:pPr>
            <w:r>
              <w:rPr>
                <w:sz w:val="20"/>
              </w:rPr>
              <w:t xml:space="preserve">________________________________________________________________________,</w:t>
            </w:r>
          </w:p>
          <w:p>
            <w:pPr>
              <w:pStyle w:val="0"/>
              <w:jc w:val="center"/>
            </w:pPr>
            <w:r>
              <w:rPr>
                <w:sz w:val="20"/>
              </w:rPr>
              <w:t xml:space="preserve">(фамилия, имя, отчество (при наличии))</w:t>
            </w:r>
          </w:p>
          <w:p>
            <w:pPr>
              <w:pStyle w:val="0"/>
              <w:jc w:val="both"/>
            </w:pPr>
            <w:r>
              <w:rPr>
                <w:sz w:val="20"/>
              </w:rPr>
              <w:t xml:space="preserve">даю согласие на обработку персональных данных (в случае если застройщиком является физическое лицо).</w:t>
            </w:r>
          </w:p>
        </w:tc>
      </w:tr>
      <w:tr>
        <w:tc>
          <w:tcPr>
            <w:gridSpan w:val="2"/>
            <w:tcW w:w="3912"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1644"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2721" w:type="dxa"/>
            <w:vAlign w:val="bottom"/>
            <w:tcBorders>
              <w:top w:val="nil"/>
              <w:left w:val="nil"/>
              <w:bottom w:val="single" w:sz="4"/>
              <w:right w:val="nil"/>
            </w:tcBorders>
          </w:tcPr>
          <w:p>
            <w:pPr>
              <w:pStyle w:val="0"/>
            </w:pPr>
            <w:r>
              <w:rPr>
                <w:sz w:val="20"/>
              </w:rPr>
            </w:r>
          </w:p>
        </w:tc>
      </w:tr>
      <w:tr>
        <w:tc>
          <w:tcPr>
            <w:gridSpan w:val="2"/>
            <w:tcW w:w="3912" w:type="dxa"/>
            <w:tcBorders>
              <w:top w:val="single" w:sz="4"/>
              <w:left w:val="nil"/>
              <w:bottom w:val="nil"/>
              <w:right w:val="nil"/>
            </w:tcBorders>
          </w:tcPr>
          <w:p>
            <w:pPr>
              <w:pStyle w:val="0"/>
              <w:jc w:val="center"/>
            </w:pPr>
            <w:r>
              <w:rPr>
                <w:sz w:val="20"/>
              </w:rPr>
              <w:t xml:space="preserve">(должность, в случае если застройщиком или техническим заказчиком является юридическое лицо)</w:t>
            </w:r>
          </w:p>
        </w:tc>
        <w:tc>
          <w:tcPr>
            <w:tcW w:w="397" w:type="dxa"/>
            <w:tcBorders>
              <w:top w:val="nil"/>
              <w:left w:val="nil"/>
              <w:bottom w:val="nil"/>
              <w:right w:val="nil"/>
            </w:tcBorders>
          </w:tcPr>
          <w:p>
            <w:pPr>
              <w:pStyle w:val="0"/>
            </w:pPr>
            <w:r>
              <w:rPr>
                <w:sz w:val="20"/>
              </w:rPr>
            </w:r>
          </w:p>
        </w:tc>
        <w:tc>
          <w:tcPr>
            <w:tcW w:w="1644" w:type="dxa"/>
            <w:tcBorders>
              <w:top w:val="single" w:sz="4"/>
              <w:left w:val="nil"/>
              <w:bottom w:val="nil"/>
              <w:right w:val="nil"/>
            </w:tcBorders>
          </w:tcPr>
          <w:p>
            <w:pPr>
              <w:pStyle w:val="0"/>
              <w:jc w:val="center"/>
            </w:pPr>
            <w:r>
              <w:rPr>
                <w:sz w:val="20"/>
              </w:rPr>
              <w:t xml:space="preserve">(подпись)</w:t>
            </w:r>
          </w:p>
        </w:tc>
        <w:tc>
          <w:tcPr>
            <w:tcW w:w="397" w:type="dxa"/>
            <w:tcBorders>
              <w:top w:val="nil"/>
              <w:left w:val="nil"/>
              <w:bottom w:val="nil"/>
              <w:right w:val="nil"/>
            </w:tcBorders>
          </w:tcPr>
          <w:p>
            <w:pPr>
              <w:pStyle w:val="0"/>
            </w:pPr>
            <w:r>
              <w:rPr>
                <w:sz w:val="20"/>
              </w:rPr>
            </w:r>
          </w:p>
        </w:tc>
        <w:tc>
          <w:tcPr>
            <w:tcW w:w="2721" w:type="dxa"/>
            <w:tcBorders>
              <w:top w:val="single" w:sz="4"/>
              <w:left w:val="nil"/>
              <w:bottom w:val="nil"/>
              <w:right w:val="nil"/>
            </w:tcBorders>
          </w:tcPr>
          <w:p>
            <w:pPr>
              <w:pStyle w:val="0"/>
              <w:jc w:val="center"/>
            </w:pPr>
            <w:r>
              <w:rPr>
                <w:sz w:val="20"/>
              </w:rPr>
              <w:t xml:space="preserve">(расшифровка подписи)</w:t>
            </w:r>
          </w:p>
        </w:tc>
      </w:tr>
      <w:tr>
        <w:tc>
          <w:tcPr>
            <w:tcW w:w="2263" w:type="dxa"/>
            <w:tcBorders>
              <w:top w:val="nil"/>
              <w:left w:val="nil"/>
              <w:bottom w:val="nil"/>
              <w:right w:val="nil"/>
            </w:tcBorders>
          </w:tcPr>
          <w:p>
            <w:pPr>
              <w:pStyle w:val="0"/>
              <w:jc w:val="center"/>
            </w:pPr>
            <w:r>
              <w:rPr>
                <w:sz w:val="20"/>
              </w:rPr>
              <w:t xml:space="preserve">М.П.</w:t>
            </w:r>
          </w:p>
          <w:p>
            <w:pPr>
              <w:pStyle w:val="0"/>
              <w:jc w:val="center"/>
            </w:pPr>
            <w:r>
              <w:rPr>
                <w:sz w:val="20"/>
              </w:rPr>
              <w:t xml:space="preserve">(при наличии)</w:t>
            </w:r>
          </w:p>
        </w:tc>
        <w:tc>
          <w:tcPr>
            <w:gridSpan w:val="5"/>
            <w:tcW w:w="6808" w:type="dxa"/>
            <w:tcBorders>
              <w:top w:val="nil"/>
              <w:left w:val="nil"/>
              <w:bottom w:val="nil"/>
              <w:right w:val="nil"/>
            </w:tcBorders>
          </w:tcPr>
          <w:p>
            <w:pPr>
              <w:pStyle w:val="0"/>
            </w:pPr>
            <w:r>
              <w:rPr>
                <w:sz w:val="20"/>
              </w:rPr>
            </w:r>
          </w:p>
        </w:tc>
      </w:tr>
      <w:tr>
        <w:tc>
          <w:tcPr>
            <w:gridSpan w:val="6"/>
            <w:tcW w:w="9071" w:type="dxa"/>
            <w:tcBorders>
              <w:top w:val="nil"/>
              <w:left w:val="nil"/>
              <w:bottom w:val="nil"/>
              <w:right w:val="nil"/>
            </w:tcBorders>
          </w:tcPr>
          <w:p>
            <w:pPr>
              <w:pStyle w:val="0"/>
              <w:jc w:val="both"/>
            </w:pPr>
            <w:r>
              <w:rPr>
                <w:sz w:val="20"/>
              </w:rPr>
              <w:t xml:space="preserve">К настоящему уведомлению прилагаются: _____________________________________</w:t>
            </w:r>
          </w:p>
          <w:p>
            <w:pPr>
              <w:pStyle w:val="0"/>
              <w:jc w:val="both"/>
            </w:pPr>
            <w:r>
              <w:rPr>
                <w:sz w:val="20"/>
              </w:rPr>
              <w:t xml:space="preserve">_________________________________________________________________________</w:t>
            </w:r>
          </w:p>
          <w:p>
            <w:pPr>
              <w:pStyle w:val="0"/>
              <w:jc w:val="both"/>
            </w:pPr>
            <w:r>
              <w:rPr>
                <w:sz w:val="20"/>
              </w:rPr>
              <w:t xml:space="preserve">_________________________________________________________________________</w:t>
            </w:r>
          </w:p>
          <w:p>
            <w:pPr>
              <w:pStyle w:val="0"/>
              <w:jc w:val="both"/>
            </w:pPr>
            <w:r>
              <w:rPr>
                <w:sz w:val="20"/>
              </w:rPr>
              <w:t xml:space="preserve">(документы в соответствии с </w:t>
            </w:r>
            <w:hyperlink w:history="0" r:id="rId44"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10 статьи 55.31</w:t>
              </w:r>
            </w:hyperlink>
            <w:r>
              <w:rPr>
                <w:sz w:val="20"/>
              </w:rPr>
              <w:t xml:space="preserve"> Градостроительного кодекса Российской Федерации (Собрание законодательства Российской Федерации, 2005, N 1, ст. 16; 2018, N 32, ст. 5133, 5135))</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both"/>
      </w:pPr>
      <w:r>
        <w:rPr>
          <w:sz w:val="20"/>
        </w:rPr>
      </w:r>
    </w:p>
    <w:p>
      <w:pPr>
        <w:pStyle w:val="0"/>
        <w:jc w:val="right"/>
      </w:pPr>
      <w:r>
        <w:rPr>
          <w:sz w:val="20"/>
        </w:rPr>
        <w:t xml:space="preserve">Приложение N 2</w:t>
      </w:r>
    </w:p>
    <w:p>
      <w:pPr>
        <w:pStyle w:val="0"/>
        <w:jc w:val="right"/>
      </w:pPr>
      <w:r>
        <w:rPr>
          <w:sz w:val="20"/>
        </w:rPr>
        <w:t xml:space="preserve">к приказу</w:t>
      </w:r>
    </w:p>
    <w:p>
      <w:pPr>
        <w:pStyle w:val="0"/>
        <w:jc w:val="right"/>
      </w:pPr>
      <w:r>
        <w:rPr>
          <w:sz w:val="20"/>
        </w:rPr>
        <w:t xml:space="preserve">Министерства строительства</w:t>
      </w:r>
    </w:p>
    <w:p>
      <w:pPr>
        <w:pStyle w:val="0"/>
        <w:jc w:val="right"/>
      </w:pPr>
      <w:r>
        <w:rPr>
          <w:sz w:val="20"/>
        </w:rPr>
        <w:t xml:space="preserve">и жилищно-коммунального хозяйства</w:t>
      </w:r>
    </w:p>
    <w:p>
      <w:pPr>
        <w:pStyle w:val="0"/>
        <w:jc w:val="right"/>
      </w:pPr>
      <w:r>
        <w:rPr>
          <w:sz w:val="20"/>
        </w:rPr>
        <w:t xml:space="preserve">Российской Федерации</w:t>
      </w:r>
    </w:p>
    <w:p>
      <w:pPr>
        <w:pStyle w:val="0"/>
        <w:jc w:val="right"/>
      </w:pPr>
      <w:r>
        <w:rPr>
          <w:sz w:val="20"/>
        </w:rPr>
        <w:t xml:space="preserve">от 24 января 2019 г. N 34/пр</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45" w:tooltip="Постановление администрации Афанасьевского муниципального округа Кировской области от 27.07.2023 N 442 &quot;О внесении изменений в постановление администрации Афанасьевского муниципального округа Кировской области от 17.02.2023 N 88&quot; (вместе с &quot;Уведомлением о планируемом сносе объекта капитального строительства&quot;, &quot;Уведомлением о завершении сноса объекта капитального строительства&quot;) {КонсультантПлюс}">
              <w:r>
                <w:rPr>
                  <w:sz w:val="20"/>
                  <w:color w:val="0000ff"/>
                </w:rPr>
                <w:t xml:space="preserve">постановлением</w:t>
              </w:r>
            </w:hyperlink>
            <w:r>
              <w:rPr>
                <w:sz w:val="20"/>
                <w:color w:val="392c69"/>
              </w:rPr>
              <w:t xml:space="preserve"> администрации Афанасьевского муниципального округа</w:t>
            </w:r>
          </w:p>
          <w:p>
            <w:pPr>
              <w:pStyle w:val="0"/>
              <w:jc w:val="center"/>
            </w:pPr>
            <w:r>
              <w:rPr>
                <w:sz w:val="20"/>
                <w:color w:val="392c69"/>
              </w:rPr>
              <w:t xml:space="preserve">Кировской области от 27.07.2023 N 442)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center"/>
      </w:pPr>
      <w:r>
        <w:rPr>
          <w:sz w:val="20"/>
        </w:rPr>
        <w:t xml:space="preserve">ФОРМА</w:t>
      </w:r>
    </w:p>
    <w:p>
      <w:pPr>
        <w:pStyle w:val="0"/>
        <w:jc w:val="center"/>
      </w:pPr>
      <w:r>
        <w:rPr>
          <w:sz w:val="20"/>
        </w:rPr>
      </w:r>
    </w:p>
    <w:p>
      <w:pPr>
        <w:pStyle w:val="0"/>
        <w:jc w:val="center"/>
      </w:pPr>
      <w:r>
        <w:rPr>
          <w:sz w:val="20"/>
        </w:rPr>
        <w:t xml:space="preserve">Уведомление о завершении сноса объекта</w:t>
      </w:r>
    </w:p>
    <w:p>
      <w:pPr>
        <w:pStyle w:val="0"/>
        <w:jc w:val="center"/>
      </w:pPr>
      <w:r>
        <w:rPr>
          <w:sz w:val="20"/>
        </w:rPr>
        <w:t xml:space="preserve">капитального строительства</w:t>
      </w:r>
    </w:p>
    <w:p>
      <w:pPr>
        <w:pStyle w:val="0"/>
        <w:jc w:val="both"/>
      </w:pPr>
      <w:r>
        <w:rPr>
          <w:sz w:val="20"/>
        </w:rPr>
      </w:r>
    </w:p>
    <w:p>
      <w:pPr>
        <w:pStyle w:val="0"/>
        <w:jc w:val="right"/>
      </w:pPr>
      <w:r>
        <w:rPr>
          <w:sz w:val="20"/>
        </w:rPr>
        <w:t xml:space="preserve">"___" ________ 20__ г.</w:t>
      </w:r>
    </w:p>
    <w:p>
      <w:pPr>
        <w:pStyle w:val="0"/>
        <w:jc w:val="both"/>
      </w:pPr>
      <w:r>
        <w:rPr>
          <w:sz w:val="20"/>
        </w:rPr>
      </w:r>
    </w:p>
    <w:p>
      <w:pPr>
        <w:pStyle w:val="0"/>
        <w:jc w:val="center"/>
      </w:pPr>
      <w:r>
        <w:rPr>
          <w:sz w:val="20"/>
        </w:rPr>
        <w:t xml:space="preserve">____________________________________________________________</w:t>
      </w:r>
    </w:p>
    <w:p>
      <w:pPr>
        <w:pStyle w:val="0"/>
        <w:jc w:val="center"/>
      </w:pPr>
      <w:r>
        <w:rPr>
          <w:sz w:val="20"/>
        </w:rPr>
        <w:t xml:space="preserve">____________________________________________________________</w:t>
      </w:r>
    </w:p>
    <w:p>
      <w:pPr>
        <w:pStyle w:val="0"/>
        <w:jc w:val="center"/>
      </w:pPr>
      <w:r>
        <w:rPr>
          <w:sz w:val="20"/>
        </w:rPr>
        <w:t xml:space="preserve">(наименование органа местного самоуправления поселения,</w:t>
      </w:r>
    </w:p>
    <w:p>
      <w:pPr>
        <w:pStyle w:val="0"/>
        <w:jc w:val="center"/>
      </w:pPr>
      <w:r>
        <w:rPr>
          <w:sz w:val="20"/>
        </w:rPr>
        <w:t xml:space="preserve">городского округа по месту нахождения земельного участка,</w:t>
      </w:r>
    </w:p>
    <w:p>
      <w:pPr>
        <w:pStyle w:val="0"/>
        <w:jc w:val="center"/>
      </w:pPr>
      <w:r>
        <w:rPr>
          <w:sz w:val="20"/>
        </w:rPr>
        <w:t xml:space="preserve">на котором располагался снесенный объект капитального</w:t>
      </w:r>
    </w:p>
    <w:p>
      <w:pPr>
        <w:pStyle w:val="0"/>
        <w:jc w:val="center"/>
      </w:pPr>
      <w:r>
        <w:rPr>
          <w:sz w:val="20"/>
        </w:rPr>
        <w:t xml:space="preserve">строительства, или в случае, если такой земельный участок</w:t>
      </w:r>
    </w:p>
    <w:p>
      <w:pPr>
        <w:pStyle w:val="0"/>
        <w:jc w:val="center"/>
      </w:pPr>
      <w:r>
        <w:rPr>
          <w:sz w:val="20"/>
        </w:rPr>
        <w:t xml:space="preserve">находится на межселенной территории, наименование органа</w:t>
      </w:r>
    </w:p>
    <w:p>
      <w:pPr>
        <w:pStyle w:val="0"/>
        <w:jc w:val="center"/>
      </w:pPr>
      <w:r>
        <w:rPr>
          <w:sz w:val="20"/>
        </w:rPr>
        <w:t xml:space="preserve">местного самоуправления муниципального района)</w:t>
      </w:r>
    </w:p>
    <w:p>
      <w:pPr>
        <w:pStyle w:val="0"/>
        <w:jc w:val="both"/>
      </w:pPr>
      <w:r>
        <w:rPr>
          <w:sz w:val="20"/>
        </w:rPr>
      </w:r>
    </w:p>
    <w:p>
      <w:pPr>
        <w:pStyle w:val="0"/>
        <w:jc w:val="center"/>
      </w:pPr>
      <w:r>
        <w:rPr>
          <w:sz w:val="20"/>
        </w:rPr>
        <w:t xml:space="preserve">1. Сведения о застройщике, техническом заказчике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1"/>
        <w:gridCol w:w="4252"/>
        <w:gridCol w:w="3969"/>
      </w:tblGrid>
      <w:tr>
        <w:tc>
          <w:tcPr>
            <w:tcW w:w="851" w:type="dxa"/>
          </w:tcPr>
          <w:p>
            <w:pPr>
              <w:pStyle w:val="0"/>
            </w:pPr>
            <w:r>
              <w:rPr>
                <w:sz w:val="20"/>
              </w:rPr>
              <w:t xml:space="preserve">1.1.</w:t>
            </w:r>
          </w:p>
        </w:tc>
        <w:tc>
          <w:tcPr>
            <w:tcW w:w="4252" w:type="dxa"/>
          </w:tcPr>
          <w:p>
            <w:pPr>
              <w:pStyle w:val="0"/>
              <w:jc w:val="both"/>
            </w:pPr>
            <w:r>
              <w:rPr>
                <w:sz w:val="20"/>
              </w:rPr>
              <w:t xml:space="preserve">Сведения о физическом лице, в случае если застройщиком является физическое лицо:</w:t>
            </w:r>
          </w:p>
        </w:tc>
        <w:tc>
          <w:tcPr>
            <w:tcW w:w="3969" w:type="dxa"/>
          </w:tcPr>
          <w:p>
            <w:pPr>
              <w:pStyle w:val="0"/>
            </w:pPr>
            <w:r>
              <w:rPr>
                <w:sz w:val="20"/>
              </w:rPr>
            </w:r>
          </w:p>
        </w:tc>
      </w:tr>
      <w:tr>
        <w:tc>
          <w:tcPr>
            <w:tcW w:w="851" w:type="dxa"/>
          </w:tcPr>
          <w:p>
            <w:pPr>
              <w:pStyle w:val="0"/>
            </w:pPr>
            <w:r>
              <w:rPr>
                <w:sz w:val="20"/>
              </w:rPr>
              <w:t xml:space="preserve">1.1.1.</w:t>
            </w:r>
          </w:p>
        </w:tc>
        <w:tc>
          <w:tcPr>
            <w:tcW w:w="4252" w:type="dxa"/>
          </w:tcPr>
          <w:p>
            <w:pPr>
              <w:pStyle w:val="0"/>
              <w:jc w:val="both"/>
            </w:pPr>
            <w:r>
              <w:rPr>
                <w:sz w:val="20"/>
              </w:rPr>
              <w:t xml:space="preserve">Фамилия, имя, отчество (при наличии)</w:t>
            </w:r>
          </w:p>
        </w:tc>
        <w:tc>
          <w:tcPr>
            <w:tcW w:w="3969" w:type="dxa"/>
          </w:tcPr>
          <w:p>
            <w:pPr>
              <w:pStyle w:val="0"/>
            </w:pPr>
            <w:r>
              <w:rPr>
                <w:sz w:val="20"/>
              </w:rPr>
            </w:r>
          </w:p>
        </w:tc>
      </w:tr>
      <w:tr>
        <w:tc>
          <w:tcPr>
            <w:tcW w:w="851" w:type="dxa"/>
          </w:tcPr>
          <w:p>
            <w:pPr>
              <w:pStyle w:val="0"/>
            </w:pPr>
            <w:r>
              <w:rPr>
                <w:sz w:val="20"/>
              </w:rPr>
              <w:t xml:space="preserve">1.1.2.</w:t>
            </w:r>
          </w:p>
        </w:tc>
        <w:tc>
          <w:tcPr>
            <w:tcW w:w="4252" w:type="dxa"/>
          </w:tcPr>
          <w:p>
            <w:pPr>
              <w:pStyle w:val="0"/>
              <w:jc w:val="both"/>
            </w:pPr>
            <w:r>
              <w:rPr>
                <w:sz w:val="20"/>
              </w:rPr>
              <w:t xml:space="preserve">Место жительства</w:t>
            </w:r>
          </w:p>
        </w:tc>
        <w:tc>
          <w:tcPr>
            <w:tcW w:w="3969" w:type="dxa"/>
          </w:tcPr>
          <w:p>
            <w:pPr>
              <w:pStyle w:val="0"/>
            </w:pPr>
            <w:r>
              <w:rPr>
                <w:sz w:val="20"/>
              </w:rPr>
            </w:r>
          </w:p>
        </w:tc>
      </w:tr>
      <w:tr>
        <w:tc>
          <w:tcPr>
            <w:tcW w:w="851" w:type="dxa"/>
          </w:tcPr>
          <w:p>
            <w:pPr>
              <w:pStyle w:val="0"/>
            </w:pPr>
            <w:r>
              <w:rPr>
                <w:sz w:val="20"/>
              </w:rPr>
              <w:t xml:space="preserve">1.1.3.</w:t>
            </w:r>
          </w:p>
        </w:tc>
        <w:tc>
          <w:tcPr>
            <w:tcW w:w="4252" w:type="dxa"/>
          </w:tcPr>
          <w:p>
            <w:pPr>
              <w:pStyle w:val="0"/>
              <w:jc w:val="both"/>
            </w:pPr>
            <w:r>
              <w:rPr>
                <w:sz w:val="20"/>
              </w:rPr>
              <w:t xml:space="preserve">Реквизиты документа, удостоверяющего личность</w:t>
            </w:r>
          </w:p>
        </w:tc>
        <w:tc>
          <w:tcPr>
            <w:tcW w:w="3969" w:type="dxa"/>
          </w:tcPr>
          <w:p>
            <w:pPr>
              <w:pStyle w:val="0"/>
            </w:pPr>
            <w:r>
              <w:rPr>
                <w:sz w:val="20"/>
              </w:rPr>
            </w:r>
          </w:p>
        </w:tc>
      </w:tr>
      <w:tr>
        <w:tc>
          <w:tcPr>
            <w:tcW w:w="851" w:type="dxa"/>
          </w:tcPr>
          <w:p>
            <w:pPr>
              <w:pStyle w:val="0"/>
            </w:pPr>
            <w:r>
              <w:rPr>
                <w:sz w:val="20"/>
              </w:rPr>
              <w:t xml:space="preserve">1.2.</w:t>
            </w:r>
          </w:p>
        </w:tc>
        <w:tc>
          <w:tcPr>
            <w:tcW w:w="4252" w:type="dxa"/>
          </w:tcPr>
          <w:p>
            <w:pPr>
              <w:pStyle w:val="0"/>
              <w:jc w:val="both"/>
            </w:pPr>
            <w:r>
              <w:rPr>
                <w:sz w:val="20"/>
              </w:rPr>
              <w:t xml:space="preserve">Сведения о юридическом лице, в случае если застройщиком или техническим заказчиком является юридическое лицо:</w:t>
            </w:r>
          </w:p>
        </w:tc>
        <w:tc>
          <w:tcPr>
            <w:tcW w:w="3969" w:type="dxa"/>
          </w:tcPr>
          <w:p>
            <w:pPr>
              <w:pStyle w:val="0"/>
            </w:pPr>
            <w:r>
              <w:rPr>
                <w:sz w:val="20"/>
              </w:rPr>
            </w:r>
          </w:p>
        </w:tc>
      </w:tr>
      <w:tr>
        <w:tc>
          <w:tcPr>
            <w:tcW w:w="851" w:type="dxa"/>
          </w:tcPr>
          <w:p>
            <w:pPr>
              <w:pStyle w:val="0"/>
            </w:pPr>
            <w:r>
              <w:rPr>
                <w:sz w:val="20"/>
              </w:rPr>
              <w:t xml:space="preserve">1.2.1.</w:t>
            </w:r>
          </w:p>
        </w:tc>
        <w:tc>
          <w:tcPr>
            <w:tcW w:w="4252" w:type="dxa"/>
          </w:tcPr>
          <w:p>
            <w:pPr>
              <w:pStyle w:val="0"/>
              <w:jc w:val="both"/>
            </w:pPr>
            <w:r>
              <w:rPr>
                <w:sz w:val="20"/>
              </w:rPr>
              <w:t xml:space="preserve">Наименование</w:t>
            </w:r>
          </w:p>
        </w:tc>
        <w:tc>
          <w:tcPr>
            <w:tcW w:w="3969" w:type="dxa"/>
          </w:tcPr>
          <w:p>
            <w:pPr>
              <w:pStyle w:val="0"/>
            </w:pPr>
            <w:r>
              <w:rPr>
                <w:sz w:val="20"/>
              </w:rPr>
            </w:r>
          </w:p>
        </w:tc>
      </w:tr>
      <w:tr>
        <w:tc>
          <w:tcPr>
            <w:tcW w:w="851" w:type="dxa"/>
          </w:tcPr>
          <w:p>
            <w:pPr>
              <w:pStyle w:val="0"/>
            </w:pPr>
            <w:r>
              <w:rPr>
                <w:sz w:val="20"/>
              </w:rPr>
              <w:t xml:space="preserve">1.2.2.</w:t>
            </w:r>
          </w:p>
        </w:tc>
        <w:tc>
          <w:tcPr>
            <w:tcW w:w="4252" w:type="dxa"/>
          </w:tcPr>
          <w:p>
            <w:pPr>
              <w:pStyle w:val="0"/>
              <w:jc w:val="both"/>
            </w:pPr>
            <w:r>
              <w:rPr>
                <w:sz w:val="20"/>
              </w:rPr>
              <w:t xml:space="preserve">Место нахождения</w:t>
            </w:r>
          </w:p>
        </w:tc>
        <w:tc>
          <w:tcPr>
            <w:tcW w:w="3969" w:type="dxa"/>
          </w:tcPr>
          <w:p>
            <w:pPr>
              <w:pStyle w:val="0"/>
            </w:pPr>
            <w:r>
              <w:rPr>
                <w:sz w:val="20"/>
              </w:rPr>
            </w:r>
          </w:p>
        </w:tc>
      </w:tr>
      <w:tr>
        <w:tc>
          <w:tcPr>
            <w:tcW w:w="851" w:type="dxa"/>
          </w:tcPr>
          <w:p>
            <w:pPr>
              <w:pStyle w:val="0"/>
            </w:pPr>
            <w:r>
              <w:rPr>
                <w:sz w:val="20"/>
              </w:rPr>
              <w:t xml:space="preserve">1.2.3.</w:t>
            </w:r>
          </w:p>
        </w:tc>
        <w:tc>
          <w:tcPr>
            <w:tcW w:w="4252" w:type="dxa"/>
          </w:tcPr>
          <w:p>
            <w:pPr>
              <w:pStyle w:val="0"/>
              <w:jc w:val="both"/>
            </w:pPr>
            <w:r>
              <w:rPr>
                <w:sz w:val="20"/>
              </w:rPr>
              <w:t xml:space="preserve">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3969" w:type="dxa"/>
          </w:tcPr>
          <w:p>
            <w:pPr>
              <w:pStyle w:val="0"/>
            </w:pPr>
            <w:r>
              <w:rPr>
                <w:sz w:val="20"/>
              </w:rPr>
            </w:r>
          </w:p>
        </w:tc>
      </w:tr>
      <w:tr>
        <w:tc>
          <w:tcPr>
            <w:tcW w:w="851" w:type="dxa"/>
          </w:tcPr>
          <w:p>
            <w:pPr>
              <w:pStyle w:val="0"/>
            </w:pPr>
            <w:r>
              <w:rPr>
                <w:sz w:val="20"/>
              </w:rPr>
              <w:t xml:space="preserve">1.2.4.</w:t>
            </w:r>
          </w:p>
        </w:tc>
        <w:tc>
          <w:tcPr>
            <w:tcW w:w="4252" w:type="dxa"/>
          </w:tcPr>
          <w:p>
            <w:pPr>
              <w:pStyle w:val="0"/>
              <w:jc w:val="both"/>
            </w:pPr>
            <w:r>
              <w:rPr>
                <w:sz w:val="20"/>
              </w:rPr>
              <w:t xml:space="preserve">Идентификационный номер налогоплательщика, за исключением случая, если заявителем является иностранное юридическое лицо</w:t>
            </w:r>
          </w:p>
        </w:tc>
        <w:tc>
          <w:tcPr>
            <w:tcW w:w="3969" w:type="dxa"/>
          </w:tcPr>
          <w:p>
            <w:pPr>
              <w:pStyle w:val="0"/>
            </w:pPr>
            <w:r>
              <w:rPr>
                <w:sz w:val="20"/>
              </w:rPr>
            </w:r>
          </w:p>
        </w:tc>
      </w:tr>
    </w:tbl>
    <w:p>
      <w:pPr>
        <w:pStyle w:val="0"/>
        <w:jc w:val="both"/>
      </w:pPr>
      <w:r>
        <w:rPr>
          <w:sz w:val="20"/>
        </w:rPr>
      </w:r>
    </w:p>
    <w:p>
      <w:pPr>
        <w:pStyle w:val="0"/>
        <w:jc w:val="center"/>
      </w:pPr>
      <w:r>
        <w:rPr>
          <w:sz w:val="20"/>
        </w:rPr>
        <w:t xml:space="preserve">2. Сведения о земельном участке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1"/>
        <w:gridCol w:w="4252"/>
        <w:gridCol w:w="3969"/>
      </w:tblGrid>
      <w:tr>
        <w:tc>
          <w:tcPr>
            <w:tcW w:w="851" w:type="dxa"/>
          </w:tcPr>
          <w:p>
            <w:pPr>
              <w:pStyle w:val="0"/>
            </w:pPr>
            <w:r>
              <w:rPr>
                <w:sz w:val="20"/>
              </w:rPr>
              <w:t xml:space="preserve">2.1.</w:t>
            </w:r>
          </w:p>
        </w:tc>
        <w:tc>
          <w:tcPr>
            <w:tcW w:w="4252" w:type="dxa"/>
          </w:tcPr>
          <w:p>
            <w:pPr>
              <w:pStyle w:val="0"/>
              <w:jc w:val="both"/>
            </w:pPr>
            <w:r>
              <w:rPr>
                <w:sz w:val="20"/>
              </w:rPr>
              <w:t xml:space="preserve">Кадастровый номер земельного участка (при наличии)</w:t>
            </w:r>
          </w:p>
        </w:tc>
        <w:tc>
          <w:tcPr>
            <w:tcW w:w="3969" w:type="dxa"/>
          </w:tcPr>
          <w:p>
            <w:pPr>
              <w:pStyle w:val="0"/>
            </w:pPr>
            <w:r>
              <w:rPr>
                <w:sz w:val="20"/>
              </w:rPr>
            </w:r>
          </w:p>
        </w:tc>
      </w:tr>
      <w:tr>
        <w:tc>
          <w:tcPr>
            <w:tcW w:w="851" w:type="dxa"/>
          </w:tcPr>
          <w:p>
            <w:pPr>
              <w:pStyle w:val="0"/>
            </w:pPr>
            <w:r>
              <w:rPr>
                <w:sz w:val="20"/>
              </w:rPr>
              <w:t xml:space="preserve">2.2.</w:t>
            </w:r>
          </w:p>
        </w:tc>
        <w:tc>
          <w:tcPr>
            <w:tcW w:w="4252" w:type="dxa"/>
          </w:tcPr>
          <w:p>
            <w:pPr>
              <w:pStyle w:val="0"/>
              <w:jc w:val="both"/>
            </w:pPr>
            <w:r>
              <w:rPr>
                <w:sz w:val="20"/>
              </w:rPr>
              <w:t xml:space="preserve">Адрес или описание местоположения земельного участка</w:t>
            </w:r>
          </w:p>
        </w:tc>
        <w:tc>
          <w:tcPr>
            <w:tcW w:w="3969" w:type="dxa"/>
          </w:tcPr>
          <w:p>
            <w:pPr>
              <w:pStyle w:val="0"/>
            </w:pPr>
            <w:r>
              <w:rPr>
                <w:sz w:val="20"/>
              </w:rPr>
            </w:r>
          </w:p>
        </w:tc>
      </w:tr>
      <w:tr>
        <w:tc>
          <w:tcPr>
            <w:tcW w:w="851" w:type="dxa"/>
          </w:tcPr>
          <w:p>
            <w:pPr>
              <w:pStyle w:val="0"/>
            </w:pPr>
            <w:r>
              <w:rPr>
                <w:sz w:val="20"/>
              </w:rPr>
              <w:t xml:space="preserve">2.3.</w:t>
            </w:r>
          </w:p>
        </w:tc>
        <w:tc>
          <w:tcPr>
            <w:tcW w:w="4252" w:type="dxa"/>
          </w:tcPr>
          <w:p>
            <w:pPr>
              <w:pStyle w:val="0"/>
              <w:jc w:val="both"/>
            </w:pPr>
            <w:r>
              <w:rPr>
                <w:sz w:val="20"/>
              </w:rPr>
              <w:t xml:space="preserve">Сведения о праве застройщика на земельный участок (правоустанавливающие документы)</w:t>
            </w:r>
          </w:p>
        </w:tc>
        <w:tc>
          <w:tcPr>
            <w:tcW w:w="3969" w:type="dxa"/>
          </w:tcPr>
          <w:p>
            <w:pPr>
              <w:pStyle w:val="0"/>
            </w:pPr>
            <w:r>
              <w:rPr>
                <w:sz w:val="20"/>
              </w:rPr>
            </w:r>
          </w:p>
        </w:tc>
      </w:tr>
      <w:tr>
        <w:tc>
          <w:tcPr>
            <w:tcW w:w="851" w:type="dxa"/>
          </w:tcPr>
          <w:p>
            <w:pPr>
              <w:pStyle w:val="0"/>
            </w:pPr>
            <w:r>
              <w:rPr>
                <w:sz w:val="20"/>
              </w:rPr>
              <w:t xml:space="preserve">2.4.</w:t>
            </w:r>
          </w:p>
        </w:tc>
        <w:tc>
          <w:tcPr>
            <w:tcW w:w="4252" w:type="dxa"/>
          </w:tcPr>
          <w:p>
            <w:pPr>
              <w:pStyle w:val="0"/>
              <w:jc w:val="both"/>
            </w:pPr>
            <w:r>
              <w:rPr>
                <w:sz w:val="20"/>
              </w:rPr>
              <w:t xml:space="preserve">Сведения о наличии прав иных лиц на земельный участок (при наличии таких лиц)</w:t>
            </w:r>
          </w:p>
        </w:tc>
        <w:tc>
          <w:tcPr>
            <w:tcW w:w="3969"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2263"/>
        <w:gridCol w:w="690"/>
        <w:gridCol w:w="959"/>
        <w:gridCol w:w="397"/>
        <w:gridCol w:w="1644"/>
        <w:gridCol w:w="397"/>
        <w:gridCol w:w="2720"/>
      </w:tblGrid>
      <w:tr>
        <w:tc>
          <w:tcPr>
            <w:gridSpan w:val="7"/>
            <w:tcW w:w="9070" w:type="dxa"/>
            <w:tcBorders>
              <w:top w:val="nil"/>
              <w:left w:val="nil"/>
              <w:bottom w:val="nil"/>
              <w:right w:val="nil"/>
            </w:tcBorders>
          </w:tcPr>
          <w:p>
            <w:pPr>
              <w:pStyle w:val="0"/>
              <w:ind w:firstLine="283"/>
              <w:jc w:val="both"/>
            </w:pPr>
            <w:r>
              <w:rPr>
                <w:sz w:val="20"/>
              </w:rPr>
              <w:t xml:space="preserve">Настоящим уведомляю о сносе объекта капитального строительства, указанного в уведомлении о планируемом сносе объекта капитального строительства _________________________________________________________________________</w:t>
            </w:r>
          </w:p>
          <w:p>
            <w:pPr>
              <w:pStyle w:val="0"/>
              <w:jc w:val="center"/>
            </w:pPr>
            <w:r>
              <w:rPr>
                <w:sz w:val="20"/>
              </w:rPr>
              <w:t xml:space="preserve">(кадастровый номер объекта капитального строительства (при наличии))</w:t>
            </w:r>
          </w:p>
        </w:tc>
      </w:tr>
      <w:tr>
        <w:tc>
          <w:tcPr>
            <w:gridSpan w:val="2"/>
            <w:tcW w:w="2953" w:type="dxa"/>
            <w:tcBorders>
              <w:top w:val="nil"/>
              <w:left w:val="nil"/>
              <w:bottom w:val="nil"/>
              <w:right w:val="nil"/>
            </w:tcBorders>
          </w:tcPr>
          <w:p>
            <w:pPr>
              <w:pStyle w:val="0"/>
              <w:jc w:val="center"/>
            </w:pPr>
            <w:r>
              <w:rPr>
                <w:sz w:val="20"/>
              </w:rPr>
              <w:t xml:space="preserve">"___" ________ 20__ г.</w:t>
            </w:r>
          </w:p>
          <w:p>
            <w:pPr>
              <w:pStyle w:val="0"/>
              <w:jc w:val="center"/>
            </w:pPr>
            <w:r>
              <w:rPr>
                <w:sz w:val="20"/>
              </w:rPr>
              <w:t xml:space="preserve">(дата направления)</w:t>
            </w:r>
          </w:p>
        </w:tc>
        <w:tc>
          <w:tcPr>
            <w:gridSpan w:val="5"/>
            <w:tcW w:w="6117" w:type="dxa"/>
            <w:tcBorders>
              <w:top w:val="nil"/>
              <w:left w:val="nil"/>
              <w:bottom w:val="nil"/>
              <w:right w:val="nil"/>
            </w:tcBorders>
          </w:tcPr>
          <w:p>
            <w:pPr>
              <w:pStyle w:val="0"/>
            </w:pPr>
            <w:r>
              <w:rPr>
                <w:sz w:val="20"/>
              </w:rPr>
            </w:r>
          </w:p>
        </w:tc>
      </w:tr>
      <w:tr>
        <w:tc>
          <w:tcPr>
            <w:gridSpan w:val="7"/>
            <w:tcW w:w="9070" w:type="dxa"/>
            <w:tcBorders>
              <w:top w:val="nil"/>
              <w:left w:val="nil"/>
              <w:bottom w:val="nil"/>
              <w:right w:val="nil"/>
            </w:tcBorders>
          </w:tcPr>
          <w:p>
            <w:pPr>
              <w:pStyle w:val="0"/>
              <w:jc w:val="both"/>
            </w:pPr>
            <w:r>
              <w:rPr>
                <w:sz w:val="20"/>
              </w:rPr>
              <w:t xml:space="preserve">Почтовый адрес и (или) адрес электронной почты для связи: _____________________</w:t>
            </w:r>
          </w:p>
          <w:p>
            <w:pPr>
              <w:pStyle w:val="0"/>
              <w:jc w:val="both"/>
            </w:pPr>
            <w:r>
              <w:rPr>
                <w:sz w:val="20"/>
              </w:rPr>
              <w:t xml:space="preserve">_________________________________________________________________________</w:t>
            </w:r>
          </w:p>
          <w:p>
            <w:pPr>
              <w:pStyle w:val="0"/>
            </w:pPr>
            <w:r>
              <w:rPr>
                <w:sz w:val="20"/>
              </w:rPr>
            </w:r>
          </w:p>
          <w:p>
            <w:pPr>
              <w:pStyle w:val="0"/>
              <w:jc w:val="both"/>
            </w:pPr>
            <w:r>
              <w:rPr>
                <w:sz w:val="20"/>
              </w:rPr>
              <w:t xml:space="preserve">Настоящим уведомлением я, ________________________________________________</w:t>
            </w:r>
          </w:p>
          <w:p>
            <w:pPr>
              <w:pStyle w:val="0"/>
              <w:jc w:val="both"/>
            </w:pPr>
            <w:r>
              <w:rPr>
                <w:sz w:val="20"/>
              </w:rPr>
              <w:t xml:space="preserve">_________________________________________________________________________</w:t>
            </w:r>
          </w:p>
          <w:p>
            <w:pPr>
              <w:pStyle w:val="0"/>
              <w:jc w:val="center"/>
            </w:pPr>
            <w:r>
              <w:rPr>
                <w:sz w:val="20"/>
              </w:rPr>
              <w:t xml:space="preserve">(фамилия, имя, отчество (при наличии))</w:t>
            </w:r>
          </w:p>
          <w:p>
            <w:pPr>
              <w:pStyle w:val="0"/>
              <w:jc w:val="both"/>
            </w:pPr>
            <w:r>
              <w:rPr>
                <w:sz w:val="20"/>
              </w:rPr>
              <w:t xml:space="preserve">даю согласие на обработку персональных данных (в случае, если застройщиком является физическое лицо).</w:t>
            </w:r>
          </w:p>
        </w:tc>
      </w:tr>
      <w:tr>
        <w:tc>
          <w:tcPr>
            <w:gridSpan w:val="3"/>
            <w:tcW w:w="3912" w:type="dxa"/>
            <w:tcBorders>
              <w:top w:val="nil"/>
              <w:left w:val="nil"/>
              <w:bottom w:val="single" w:sz="4"/>
              <w:right w:val="nil"/>
            </w:tcBorders>
          </w:tcPr>
          <w:p>
            <w:pPr>
              <w:pStyle w:val="0"/>
            </w:pPr>
            <w:r>
              <w:rPr>
                <w:sz w:val="20"/>
              </w:rPr>
            </w:r>
          </w:p>
        </w:tc>
        <w:tc>
          <w:tcPr>
            <w:tcW w:w="397" w:type="dxa"/>
            <w:tcBorders>
              <w:top w:val="nil"/>
              <w:left w:val="nil"/>
              <w:bottom w:val="nil"/>
              <w:right w:val="nil"/>
            </w:tcBorders>
          </w:tcPr>
          <w:p>
            <w:pPr>
              <w:pStyle w:val="0"/>
            </w:pPr>
            <w:r>
              <w:rPr>
                <w:sz w:val="20"/>
              </w:rPr>
            </w:r>
          </w:p>
        </w:tc>
        <w:tc>
          <w:tcPr>
            <w:tcW w:w="1644" w:type="dxa"/>
            <w:tcBorders>
              <w:top w:val="nil"/>
              <w:left w:val="nil"/>
              <w:bottom w:val="single" w:sz="4"/>
              <w:right w:val="nil"/>
            </w:tcBorders>
          </w:tcPr>
          <w:p>
            <w:pPr>
              <w:pStyle w:val="0"/>
            </w:pPr>
            <w:r>
              <w:rPr>
                <w:sz w:val="20"/>
              </w:rPr>
            </w:r>
          </w:p>
        </w:tc>
        <w:tc>
          <w:tcPr>
            <w:tcW w:w="397" w:type="dxa"/>
            <w:tcBorders>
              <w:top w:val="nil"/>
              <w:left w:val="nil"/>
              <w:bottom w:val="nil"/>
              <w:right w:val="nil"/>
            </w:tcBorders>
          </w:tcPr>
          <w:p>
            <w:pPr>
              <w:pStyle w:val="0"/>
            </w:pPr>
            <w:r>
              <w:rPr>
                <w:sz w:val="20"/>
              </w:rPr>
            </w:r>
          </w:p>
        </w:tc>
        <w:tc>
          <w:tcPr>
            <w:tcW w:w="2720" w:type="dxa"/>
            <w:tcBorders>
              <w:top w:val="nil"/>
              <w:left w:val="nil"/>
              <w:bottom w:val="single" w:sz="4"/>
              <w:right w:val="nil"/>
            </w:tcBorders>
          </w:tcPr>
          <w:p>
            <w:pPr>
              <w:pStyle w:val="0"/>
            </w:pPr>
            <w:r>
              <w:rPr>
                <w:sz w:val="20"/>
              </w:rPr>
            </w:r>
          </w:p>
        </w:tc>
      </w:tr>
      <w:tr>
        <w:tc>
          <w:tcPr>
            <w:gridSpan w:val="3"/>
            <w:tcW w:w="3912" w:type="dxa"/>
            <w:tcBorders>
              <w:top w:val="single" w:sz="4"/>
              <w:left w:val="nil"/>
              <w:bottom w:val="nil"/>
              <w:right w:val="nil"/>
            </w:tcBorders>
          </w:tcPr>
          <w:p>
            <w:pPr>
              <w:pStyle w:val="0"/>
              <w:jc w:val="center"/>
            </w:pPr>
            <w:r>
              <w:rPr>
                <w:sz w:val="20"/>
              </w:rPr>
              <w:t xml:space="preserve">(должность, в случае если застройщиком или техническим заказчиком является юридическое лицо)</w:t>
            </w:r>
          </w:p>
        </w:tc>
        <w:tc>
          <w:tcPr>
            <w:tcW w:w="397" w:type="dxa"/>
            <w:tcBorders>
              <w:top w:val="nil"/>
              <w:left w:val="nil"/>
              <w:bottom w:val="nil"/>
              <w:right w:val="nil"/>
            </w:tcBorders>
          </w:tcPr>
          <w:p>
            <w:pPr>
              <w:pStyle w:val="0"/>
            </w:pPr>
            <w:r>
              <w:rPr>
                <w:sz w:val="20"/>
              </w:rPr>
            </w:r>
          </w:p>
        </w:tc>
        <w:tc>
          <w:tcPr>
            <w:tcW w:w="1644" w:type="dxa"/>
            <w:tcBorders>
              <w:top w:val="single" w:sz="4"/>
              <w:left w:val="nil"/>
              <w:bottom w:val="nil"/>
              <w:right w:val="nil"/>
            </w:tcBorders>
          </w:tcPr>
          <w:p>
            <w:pPr>
              <w:pStyle w:val="0"/>
              <w:jc w:val="center"/>
            </w:pPr>
            <w:r>
              <w:rPr>
                <w:sz w:val="20"/>
              </w:rPr>
              <w:t xml:space="preserve">(подпись)</w:t>
            </w:r>
          </w:p>
        </w:tc>
        <w:tc>
          <w:tcPr>
            <w:tcW w:w="397" w:type="dxa"/>
            <w:tcBorders>
              <w:top w:val="nil"/>
              <w:left w:val="nil"/>
              <w:bottom w:val="nil"/>
              <w:right w:val="nil"/>
            </w:tcBorders>
          </w:tcPr>
          <w:p>
            <w:pPr>
              <w:pStyle w:val="0"/>
            </w:pPr>
            <w:r>
              <w:rPr>
                <w:sz w:val="20"/>
              </w:rPr>
            </w:r>
          </w:p>
        </w:tc>
        <w:tc>
          <w:tcPr>
            <w:tcW w:w="2720" w:type="dxa"/>
            <w:tcBorders>
              <w:top w:val="single" w:sz="4"/>
              <w:left w:val="nil"/>
              <w:bottom w:val="nil"/>
              <w:right w:val="nil"/>
            </w:tcBorders>
          </w:tcPr>
          <w:p>
            <w:pPr>
              <w:pStyle w:val="0"/>
              <w:jc w:val="center"/>
            </w:pPr>
            <w:r>
              <w:rPr>
                <w:sz w:val="20"/>
              </w:rPr>
              <w:t xml:space="preserve">(расшифровка подписи)</w:t>
            </w:r>
          </w:p>
        </w:tc>
      </w:tr>
      <w:tr>
        <w:tc>
          <w:tcPr>
            <w:tcW w:w="2263" w:type="dxa"/>
            <w:tcBorders>
              <w:top w:val="nil"/>
              <w:left w:val="nil"/>
              <w:bottom w:val="nil"/>
              <w:right w:val="nil"/>
            </w:tcBorders>
          </w:tcPr>
          <w:p>
            <w:pPr>
              <w:pStyle w:val="0"/>
              <w:jc w:val="center"/>
            </w:pPr>
            <w:r>
              <w:rPr>
                <w:sz w:val="20"/>
              </w:rPr>
              <w:t xml:space="preserve">М.П.</w:t>
            </w:r>
          </w:p>
          <w:p>
            <w:pPr>
              <w:pStyle w:val="0"/>
              <w:jc w:val="center"/>
            </w:pPr>
            <w:r>
              <w:rPr>
                <w:sz w:val="20"/>
              </w:rPr>
              <w:t xml:space="preserve">(при наличии)</w:t>
            </w:r>
          </w:p>
        </w:tc>
        <w:tc>
          <w:tcPr>
            <w:gridSpan w:val="6"/>
            <w:tcW w:w="6807" w:type="dxa"/>
            <w:tcBorders>
              <w:top w:val="nil"/>
              <w:left w:val="nil"/>
              <w:bottom w:val="nil"/>
              <w:right w:val="nil"/>
            </w:tcBorders>
          </w:tcPr>
          <w:p>
            <w:pPr>
              <w:pStyle w:val="0"/>
            </w:pPr>
            <w:r>
              <w:rPr>
                <w:sz w:val="20"/>
              </w:rPr>
            </w: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Афанасьевского муниципального округа Кировской области от 17.02.2023 N 88</w:t>
            <w:br/>
            <w:t>(ред. от 26.03.202...</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21.07.2026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240&amp;n=213219&amp;dst=100005" TargetMode = "External"/><Relationship Id="rId9" Type="http://schemas.openxmlformats.org/officeDocument/2006/relationships/hyperlink" Target="https://login.consultant.ru/link/?req=doc&amp;base=RLAW240&amp;n=244837&amp;dst=100005" TargetMode = "External"/><Relationship Id="rId10" Type="http://schemas.openxmlformats.org/officeDocument/2006/relationships/hyperlink" Target="https://login.consultant.ru/link/?req=doc&amp;base=LAW&amp;n=523235" TargetMode = "External"/><Relationship Id="rId11" Type="http://schemas.openxmlformats.org/officeDocument/2006/relationships/hyperlink" Target="https://login.consultant.ru/link/?req=doc&amp;base=LAW&amp;n=501480" TargetMode = "External"/><Relationship Id="rId12" Type="http://schemas.openxmlformats.org/officeDocument/2006/relationships/hyperlink" Target="https://login.consultant.ru/link/?req=doc&amp;base=RLAW240&amp;n=213219&amp;dst=100006" TargetMode = "External"/><Relationship Id="rId13" Type="http://schemas.openxmlformats.org/officeDocument/2006/relationships/hyperlink" Target="https://login.consultant.ru/link/?req=doc&amp;base=RLAW240&amp;n=244837&amp;dst=100006" TargetMode = "External"/><Relationship Id="rId14" Type="http://schemas.openxmlformats.org/officeDocument/2006/relationships/hyperlink" Target="https://login.consultant.ru/link/?req=doc&amp;base=RLAW240&amp;n=213219&amp;dst=100006" TargetMode = "External"/><Relationship Id="rId15" Type="http://schemas.openxmlformats.org/officeDocument/2006/relationships/hyperlink" Target="https://www.gosuslugi.ru/" TargetMode = "External"/><Relationship Id="rId16" Type="http://schemas.openxmlformats.org/officeDocument/2006/relationships/hyperlink" Target="http://www.gosuslugi43.ru/" TargetMode = "External"/><Relationship Id="rId17" Type="http://schemas.openxmlformats.org/officeDocument/2006/relationships/hyperlink" Target="https://login.consultant.ru/link/?req=doc&amp;base=LAW&amp;n=494960" TargetMode = "External"/><Relationship Id="rId18" Type="http://schemas.openxmlformats.org/officeDocument/2006/relationships/hyperlink" Target="https://login.consultant.ru/link/?req=doc&amp;base=LAW&amp;n=521885&amp;dst=100023" TargetMode = "External"/><Relationship Id="rId19" Type="http://schemas.openxmlformats.org/officeDocument/2006/relationships/hyperlink" Target="https://login.consultant.ru/link/?req=doc&amp;base=RLAW240&amp;n=213219&amp;dst=100011" TargetMode = "External"/><Relationship Id="rId20" Type="http://schemas.openxmlformats.org/officeDocument/2006/relationships/hyperlink" Target="https://login.consultant.ru/link/?req=doc&amp;base=RLAW240&amp;n=244837&amp;dst=100006" TargetMode = "External"/><Relationship Id="rId21" Type="http://schemas.openxmlformats.org/officeDocument/2006/relationships/hyperlink" Target="https://login.consultant.ru/link/?req=doc&amp;base=LAW&amp;n=511602&amp;dst=100069" TargetMode = "External"/><Relationship Id="rId22" Type="http://schemas.openxmlformats.org/officeDocument/2006/relationships/hyperlink" Target="https://login.consultant.ru/link/?req=doc&amp;base=LAW&amp;n=531243&amp;dst=100013" TargetMode = "External"/><Relationship Id="rId23" Type="http://schemas.openxmlformats.org/officeDocument/2006/relationships/hyperlink" Target="https://login.consultant.ru/link/?req=doc&amp;base=LAW&amp;n=442096&amp;dst=100010" TargetMode = "External"/><Relationship Id="rId24" Type="http://schemas.openxmlformats.org/officeDocument/2006/relationships/hyperlink" Target="https://login.consultant.ru/link/?req=doc&amp;base=LAW&amp;n=475220" TargetMode = "External"/><Relationship Id="rId25" Type="http://schemas.openxmlformats.org/officeDocument/2006/relationships/hyperlink" Target="https://login.consultant.ru/link/?req=doc&amp;base=LAW&amp;n=501278" TargetMode = "External"/><Relationship Id="rId26" Type="http://schemas.openxmlformats.org/officeDocument/2006/relationships/hyperlink" Target="https://login.consultant.ru/link/?req=doc&amp;base=LAW&amp;n=523235&amp;dst=100010" TargetMode = "External"/><Relationship Id="rId27" Type="http://schemas.openxmlformats.org/officeDocument/2006/relationships/hyperlink" Target="https://login.consultant.ru/link/?req=doc&amp;base=LAW&amp;n=523235&amp;dst=43" TargetMode = "External"/><Relationship Id="rId28" Type="http://schemas.openxmlformats.org/officeDocument/2006/relationships/hyperlink" Target="https://login.consultant.ru/link/?req=doc&amp;base=LAW&amp;n=523235&amp;dst=339" TargetMode = "External"/><Relationship Id="rId29" Type="http://schemas.openxmlformats.org/officeDocument/2006/relationships/hyperlink" Target="https://login.consultant.ru/link/?req=doc&amp;base=LAW&amp;n=523235&amp;dst=100352" TargetMode = "External"/><Relationship Id="rId30" Type="http://schemas.openxmlformats.org/officeDocument/2006/relationships/hyperlink" Target="https://login.consultant.ru/link/?req=doc&amp;base=LAW&amp;n=523235&amp;dst=100352" TargetMode = "External"/><Relationship Id="rId31" Type="http://schemas.openxmlformats.org/officeDocument/2006/relationships/hyperlink" Target="https://login.consultant.ru/link/?req=doc&amp;base=LAW&amp;n=523235&amp;dst=359" TargetMode = "External"/><Relationship Id="rId32" Type="http://schemas.openxmlformats.org/officeDocument/2006/relationships/hyperlink" Target="https://login.consultant.ru/link/?req=doc&amp;base=LAW&amp;n=511602&amp;dst=100088" TargetMode = "External"/><Relationship Id="rId33" Type="http://schemas.openxmlformats.org/officeDocument/2006/relationships/hyperlink" Target="https://login.consultant.ru/link/?req=doc&amp;base=LAW&amp;n=443427&amp;dst=49" TargetMode = "External"/><Relationship Id="rId34" Type="http://schemas.openxmlformats.org/officeDocument/2006/relationships/hyperlink" Target="https://login.consultant.ru/link/?req=doc&amp;base=LAW&amp;n=523235&amp;dst=107" TargetMode = "External"/><Relationship Id="rId35" Type="http://schemas.openxmlformats.org/officeDocument/2006/relationships/hyperlink" Target="https://login.consultant.ru/link/?req=doc&amp;base=LAW&amp;n=311791" TargetMode = "External"/><Relationship Id="rId36" Type="http://schemas.openxmlformats.org/officeDocument/2006/relationships/hyperlink" Target="https://login.consultant.ru/link/?req=doc&amp;base=RLAW240&amp;n=244837&amp;dst=100007" TargetMode = "External"/><Relationship Id="rId37" Type="http://schemas.openxmlformats.org/officeDocument/2006/relationships/hyperlink" Target="https://login.consultant.ru/link/?req=doc&amp;base=RLAW240&amp;n=244837&amp;dst=100008" TargetMode = "External"/><Relationship Id="rId38" Type="http://schemas.openxmlformats.org/officeDocument/2006/relationships/hyperlink" Target="https://login.consultant.ru/link/?req=doc&amp;base=LAW&amp;n=523235" TargetMode = "External"/><Relationship Id="rId39" Type="http://schemas.openxmlformats.org/officeDocument/2006/relationships/hyperlink" Target="https://login.consultant.ru/link/?req=doc&amp;base=LAW&amp;n=523235&amp;dst=100352" TargetMode = "External"/><Relationship Id="rId40" Type="http://schemas.openxmlformats.org/officeDocument/2006/relationships/hyperlink" Target="https://login.consultant.ru/link/?req=doc&amp;base=LAW&amp;n=475220" TargetMode = "External"/><Relationship Id="rId41" Type="http://schemas.openxmlformats.org/officeDocument/2006/relationships/hyperlink" Target="https://login.consultant.ru/link/?req=doc&amp;base=LAW&amp;n=475220" TargetMode = "External"/><Relationship Id="rId42" Type="http://schemas.openxmlformats.org/officeDocument/2006/relationships/hyperlink" Target="https://login.consultant.ru/link/?req=doc&amp;base=LAW&amp;n=511602&amp;dst=100088" TargetMode = "External"/><Relationship Id="rId43" Type="http://schemas.openxmlformats.org/officeDocument/2006/relationships/hyperlink" Target="https://login.consultant.ru/link/?req=doc&amp;base=RLAW240&amp;n=213219&amp;dst=100015" TargetMode = "External"/><Relationship Id="rId44" Type="http://schemas.openxmlformats.org/officeDocument/2006/relationships/hyperlink" Target="https://login.consultant.ru/link/?req=doc&amp;base=LAW&amp;n=524066&amp;dst=2774" TargetMode = "External"/><Relationship Id="rId45" Type="http://schemas.openxmlformats.org/officeDocument/2006/relationships/hyperlink" Target="https://login.consultant.ru/link/?req=doc&amp;base=RLAW240&amp;n=213219&amp;dst=10001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Афанасьевского муниципального округа Кировской области от 17.02.2023 N 88
(ред. от 26.03.2025)
"Об утверждении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муниципального образования Афанасьевский муниципальный округ Кировской области"</dc:title>
  <dcterms:created xsi:type="dcterms:W3CDTF">2026-07-21T10:09:48Z</dcterms:created>
</cp:coreProperties>
</file>